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DA2809" w14:textId="37A3529A" w:rsidR="009D24B0" w:rsidRDefault="00FD2753" w:rsidP="005B1ACC">
      <w:pPr>
        <w:spacing w:after="0"/>
        <w:jc w:val="center"/>
        <w:rPr>
          <w:sz w:val="20"/>
          <w:szCs w:val="20"/>
        </w:rPr>
      </w:pPr>
      <w:r>
        <w:rPr>
          <w:sz w:val="20"/>
          <w:szCs w:val="20"/>
        </w:rPr>
        <w:t>Request for Information</w:t>
      </w:r>
    </w:p>
    <w:p w14:paraId="3C0BF8A0" w14:textId="32D0F466" w:rsidR="00FD2753" w:rsidRDefault="00FD2753" w:rsidP="005B1ACC">
      <w:pPr>
        <w:spacing w:after="0"/>
        <w:jc w:val="center"/>
        <w:rPr>
          <w:sz w:val="20"/>
          <w:szCs w:val="20"/>
        </w:rPr>
      </w:pPr>
      <w:r>
        <w:rPr>
          <w:sz w:val="20"/>
          <w:szCs w:val="20"/>
        </w:rPr>
        <w:t>Issued by New Mexico Health Care Authority</w:t>
      </w:r>
    </w:p>
    <w:p w14:paraId="5390BFF0" w14:textId="359E18FC" w:rsidR="00FD2753" w:rsidRDefault="00FD2753" w:rsidP="005B1ACC">
      <w:pPr>
        <w:spacing w:after="0"/>
        <w:jc w:val="center"/>
        <w:rPr>
          <w:sz w:val="20"/>
          <w:szCs w:val="20"/>
        </w:rPr>
      </w:pPr>
      <w:r>
        <w:rPr>
          <w:sz w:val="20"/>
          <w:szCs w:val="20"/>
        </w:rPr>
        <w:t>Medical Services Division</w:t>
      </w:r>
    </w:p>
    <w:p w14:paraId="35ABCAE9" w14:textId="77777777" w:rsidR="00FD2753" w:rsidRDefault="00FD2753" w:rsidP="005B1ACC">
      <w:pPr>
        <w:spacing w:after="0"/>
        <w:jc w:val="center"/>
        <w:rPr>
          <w:sz w:val="20"/>
          <w:szCs w:val="20"/>
        </w:rPr>
      </w:pPr>
    </w:p>
    <w:p w14:paraId="3D7338CD" w14:textId="62F8E5FB" w:rsidR="00FD2753" w:rsidRDefault="00FD2753" w:rsidP="005B1ACC">
      <w:pPr>
        <w:spacing w:after="0"/>
        <w:jc w:val="center"/>
        <w:rPr>
          <w:sz w:val="20"/>
          <w:szCs w:val="20"/>
        </w:rPr>
      </w:pPr>
      <w:r>
        <w:rPr>
          <w:sz w:val="20"/>
          <w:szCs w:val="20"/>
        </w:rPr>
        <w:t>For</w:t>
      </w:r>
    </w:p>
    <w:p w14:paraId="4E5E1F43" w14:textId="77777777" w:rsidR="00FD2753" w:rsidRDefault="00FD2753" w:rsidP="005B1ACC">
      <w:pPr>
        <w:spacing w:after="0"/>
        <w:jc w:val="center"/>
        <w:rPr>
          <w:sz w:val="20"/>
          <w:szCs w:val="20"/>
        </w:rPr>
      </w:pPr>
    </w:p>
    <w:p w14:paraId="7D8D3246" w14:textId="024390E6" w:rsidR="00FD2753" w:rsidRDefault="00FD2753" w:rsidP="005B1ACC">
      <w:pPr>
        <w:spacing w:after="0"/>
        <w:jc w:val="center"/>
        <w:rPr>
          <w:sz w:val="20"/>
          <w:szCs w:val="20"/>
        </w:rPr>
      </w:pPr>
      <w:r>
        <w:rPr>
          <w:sz w:val="20"/>
          <w:szCs w:val="20"/>
        </w:rPr>
        <w:t>Rural Health Transformation Program Initiatives</w:t>
      </w:r>
    </w:p>
    <w:p w14:paraId="11F4CA58" w14:textId="77777777" w:rsidR="00FD2753" w:rsidRDefault="00FD2753" w:rsidP="005B1ACC">
      <w:pPr>
        <w:spacing w:after="0"/>
        <w:jc w:val="center"/>
        <w:rPr>
          <w:sz w:val="20"/>
          <w:szCs w:val="20"/>
        </w:rPr>
      </w:pPr>
    </w:p>
    <w:p w14:paraId="5666173C" w14:textId="070D7CAC" w:rsidR="00FD2753" w:rsidRDefault="00FD2753" w:rsidP="005B1ACC">
      <w:pPr>
        <w:spacing w:after="0"/>
        <w:jc w:val="center"/>
        <w:rPr>
          <w:sz w:val="20"/>
          <w:szCs w:val="20"/>
        </w:rPr>
      </w:pPr>
      <w:r>
        <w:rPr>
          <w:sz w:val="20"/>
          <w:szCs w:val="20"/>
        </w:rPr>
        <w:t>RFI-</w:t>
      </w:r>
      <w:r w:rsidRPr="751721FD">
        <w:rPr>
          <w:sz w:val="20"/>
          <w:szCs w:val="20"/>
        </w:rPr>
        <w:t>26</w:t>
      </w:r>
      <w:r w:rsidR="4490864B" w:rsidRPr="751721FD">
        <w:rPr>
          <w:sz w:val="20"/>
          <w:szCs w:val="20"/>
        </w:rPr>
        <w:t>63</w:t>
      </w:r>
      <w:r w:rsidR="6A3F82A4" w:rsidRPr="751721FD">
        <w:rPr>
          <w:sz w:val="20"/>
          <w:szCs w:val="20"/>
        </w:rPr>
        <w:t>0</w:t>
      </w:r>
      <w:r w:rsidR="4490864B" w:rsidRPr="7CEBD7D9">
        <w:rPr>
          <w:sz w:val="20"/>
          <w:szCs w:val="20"/>
        </w:rPr>
        <w:t>-8000-</w:t>
      </w:r>
      <w:r w:rsidR="4490864B" w:rsidRPr="751721FD">
        <w:rPr>
          <w:sz w:val="20"/>
          <w:szCs w:val="20"/>
        </w:rPr>
        <w:t>0011</w:t>
      </w:r>
    </w:p>
    <w:p w14:paraId="3CA7EE0F" w14:textId="77777777" w:rsidR="005B1ACC" w:rsidRDefault="005B1ACC" w:rsidP="005B1ACC">
      <w:pPr>
        <w:spacing w:after="0"/>
        <w:rPr>
          <w:sz w:val="20"/>
          <w:szCs w:val="20"/>
        </w:rPr>
      </w:pPr>
    </w:p>
    <w:p w14:paraId="07252B7F" w14:textId="3457220F" w:rsidR="005B1ACC" w:rsidRDefault="005B1ACC" w:rsidP="005B1ACC">
      <w:pPr>
        <w:pStyle w:val="ListParagraph"/>
        <w:numPr>
          <w:ilvl w:val="0"/>
          <w:numId w:val="1"/>
        </w:numPr>
        <w:spacing w:after="0"/>
        <w:rPr>
          <w:sz w:val="20"/>
          <w:szCs w:val="20"/>
        </w:rPr>
      </w:pPr>
      <w:r>
        <w:rPr>
          <w:sz w:val="20"/>
          <w:szCs w:val="20"/>
        </w:rPr>
        <w:t>General Instructions</w:t>
      </w:r>
    </w:p>
    <w:p w14:paraId="5A193A72" w14:textId="77777777" w:rsidR="002C7F58" w:rsidRDefault="002C7F58" w:rsidP="002C7F58">
      <w:pPr>
        <w:pStyle w:val="ListParagraph"/>
        <w:spacing w:after="0"/>
        <w:rPr>
          <w:sz w:val="20"/>
          <w:szCs w:val="20"/>
        </w:rPr>
      </w:pPr>
    </w:p>
    <w:p w14:paraId="7899C65F" w14:textId="46DB5F55" w:rsidR="005B1ACC" w:rsidRDefault="005B1ACC" w:rsidP="005B1ACC">
      <w:pPr>
        <w:pStyle w:val="ListParagraph"/>
        <w:numPr>
          <w:ilvl w:val="0"/>
          <w:numId w:val="2"/>
        </w:numPr>
        <w:spacing w:after="0"/>
        <w:rPr>
          <w:sz w:val="20"/>
          <w:szCs w:val="20"/>
        </w:rPr>
      </w:pPr>
      <w:r>
        <w:rPr>
          <w:sz w:val="20"/>
          <w:szCs w:val="20"/>
        </w:rPr>
        <w:t>Purpose</w:t>
      </w:r>
    </w:p>
    <w:p w14:paraId="0EC5561A" w14:textId="77777777" w:rsidR="002C7F58" w:rsidRDefault="002C7F58" w:rsidP="002C7F58">
      <w:pPr>
        <w:spacing w:after="0"/>
        <w:rPr>
          <w:sz w:val="20"/>
          <w:szCs w:val="20"/>
        </w:rPr>
      </w:pPr>
    </w:p>
    <w:p w14:paraId="2F3E5867" w14:textId="75E226D6" w:rsidR="000268E8" w:rsidRDefault="00840861" w:rsidP="00736FC5">
      <w:pPr>
        <w:spacing w:after="0"/>
        <w:ind w:left="720"/>
        <w:rPr>
          <w:sz w:val="20"/>
          <w:szCs w:val="20"/>
        </w:rPr>
      </w:pPr>
      <w:r>
        <w:rPr>
          <w:sz w:val="20"/>
          <w:szCs w:val="20"/>
        </w:rPr>
        <w:t>The State of New Mexico Health Care Authority (HCA)</w:t>
      </w:r>
      <w:r w:rsidR="00F93D8F">
        <w:rPr>
          <w:sz w:val="20"/>
          <w:szCs w:val="20"/>
        </w:rPr>
        <w:t xml:space="preserve"> is issuing this Request for Information (RFI) to stakeholders including </w:t>
      </w:r>
      <w:r w:rsidR="00367936">
        <w:rPr>
          <w:sz w:val="20"/>
          <w:szCs w:val="20"/>
        </w:rPr>
        <w:t xml:space="preserve">health care providers, vendors, </w:t>
      </w:r>
      <w:r w:rsidR="00786580">
        <w:rPr>
          <w:sz w:val="20"/>
          <w:szCs w:val="20"/>
        </w:rPr>
        <w:t>payers</w:t>
      </w:r>
      <w:r w:rsidR="00367936">
        <w:rPr>
          <w:sz w:val="20"/>
          <w:szCs w:val="20"/>
        </w:rPr>
        <w:t xml:space="preserve">, community organizations, advocates, members, </w:t>
      </w:r>
      <w:r w:rsidR="004C1512">
        <w:rPr>
          <w:sz w:val="20"/>
          <w:szCs w:val="20"/>
        </w:rPr>
        <w:t xml:space="preserve">Information Technology (IT) </w:t>
      </w:r>
      <w:r w:rsidR="000242C4">
        <w:rPr>
          <w:sz w:val="20"/>
          <w:szCs w:val="20"/>
        </w:rPr>
        <w:t>firms,</w:t>
      </w:r>
      <w:r w:rsidR="00373D5A">
        <w:rPr>
          <w:sz w:val="20"/>
          <w:szCs w:val="20"/>
        </w:rPr>
        <w:t xml:space="preserve"> </w:t>
      </w:r>
      <w:r w:rsidR="00367936">
        <w:rPr>
          <w:sz w:val="20"/>
          <w:szCs w:val="20"/>
        </w:rPr>
        <w:t>and all other New Mexicans, to provide</w:t>
      </w:r>
      <w:r w:rsidR="008959A1">
        <w:rPr>
          <w:sz w:val="20"/>
          <w:szCs w:val="20"/>
        </w:rPr>
        <w:t xml:space="preserve"> public input to inform its development of </w:t>
      </w:r>
      <w:r w:rsidR="004343C5">
        <w:rPr>
          <w:sz w:val="20"/>
          <w:szCs w:val="20"/>
        </w:rPr>
        <w:t xml:space="preserve">a Rural Health Transformation Plan in support of its grant application </w:t>
      </w:r>
      <w:r w:rsidR="00E07E55">
        <w:rPr>
          <w:sz w:val="20"/>
          <w:szCs w:val="20"/>
        </w:rPr>
        <w:t>for the Rural Health Transformation Program (RHTP</w:t>
      </w:r>
      <w:r w:rsidR="000268E8">
        <w:rPr>
          <w:sz w:val="20"/>
          <w:szCs w:val="20"/>
        </w:rPr>
        <w:t xml:space="preserve">) </w:t>
      </w:r>
      <w:r w:rsidR="000268E8" w:rsidRPr="000268E8">
        <w:rPr>
          <w:sz w:val="20"/>
          <w:szCs w:val="20"/>
        </w:rPr>
        <w:t xml:space="preserve">as authorized by Section 71401 of </w:t>
      </w:r>
      <w:r w:rsidR="000268E8">
        <w:rPr>
          <w:sz w:val="20"/>
          <w:szCs w:val="20"/>
        </w:rPr>
        <w:t>H.R. 1</w:t>
      </w:r>
      <w:r w:rsidR="00D607BD">
        <w:rPr>
          <w:sz w:val="20"/>
          <w:szCs w:val="20"/>
        </w:rPr>
        <w:t xml:space="preserve"> (2025)</w:t>
      </w:r>
      <w:r w:rsidR="000268E8" w:rsidRPr="000268E8">
        <w:rPr>
          <w:sz w:val="20"/>
          <w:szCs w:val="20"/>
        </w:rPr>
        <w:t>, codified at 42 U.S.C. 1397ee(h).</w:t>
      </w:r>
    </w:p>
    <w:p w14:paraId="526A5622" w14:textId="77777777" w:rsidR="00E471B3" w:rsidRDefault="00E471B3" w:rsidP="00736FC5">
      <w:pPr>
        <w:spacing w:after="0"/>
        <w:ind w:left="720"/>
        <w:rPr>
          <w:sz w:val="20"/>
          <w:szCs w:val="20"/>
        </w:rPr>
      </w:pPr>
    </w:p>
    <w:p w14:paraId="0B98EDE4" w14:textId="7AB184C3" w:rsidR="00D02389" w:rsidRPr="00122D3F" w:rsidRDefault="00772452" w:rsidP="00772452">
      <w:pPr>
        <w:pStyle w:val="ListParagraph"/>
        <w:spacing w:after="0"/>
        <w:rPr>
          <w:b/>
          <w:bCs/>
          <w:sz w:val="20"/>
          <w:szCs w:val="20"/>
        </w:rPr>
      </w:pPr>
      <w:r>
        <w:rPr>
          <w:sz w:val="20"/>
          <w:szCs w:val="20"/>
        </w:rPr>
        <w:t xml:space="preserve">This RFI invites submission of </w:t>
      </w:r>
      <w:r w:rsidR="003263BF">
        <w:rPr>
          <w:sz w:val="20"/>
          <w:szCs w:val="20"/>
        </w:rPr>
        <w:t>project concepts</w:t>
      </w:r>
      <w:r>
        <w:rPr>
          <w:sz w:val="20"/>
          <w:szCs w:val="20"/>
        </w:rPr>
        <w:t xml:space="preserve"> and initiatives that align with the grant funding priorities and will support a competitive state grant application. This RFI also invites</w:t>
      </w:r>
      <w:r w:rsidR="007253A1">
        <w:rPr>
          <w:sz w:val="20"/>
          <w:szCs w:val="20"/>
        </w:rPr>
        <w:t xml:space="preserve"> feedback on specific state policy options under consideration for this application. </w:t>
      </w:r>
      <w:r w:rsidR="0064700B" w:rsidRPr="00122D3F">
        <w:rPr>
          <w:b/>
          <w:bCs/>
          <w:sz w:val="20"/>
          <w:szCs w:val="20"/>
        </w:rPr>
        <w:t xml:space="preserve">Any entity that has already submitted feedback to HCA in anticipation of </w:t>
      </w:r>
      <w:r w:rsidR="00F478E8" w:rsidRPr="00122D3F">
        <w:rPr>
          <w:b/>
          <w:bCs/>
          <w:sz w:val="20"/>
          <w:szCs w:val="20"/>
        </w:rPr>
        <w:t>the RHTP</w:t>
      </w:r>
      <w:r w:rsidR="000E2539" w:rsidRPr="00122D3F">
        <w:rPr>
          <w:b/>
          <w:bCs/>
          <w:sz w:val="20"/>
          <w:szCs w:val="20"/>
        </w:rPr>
        <w:t xml:space="preserve"> funding opportunity is encouraged to </w:t>
      </w:r>
      <w:r w:rsidR="00B506B2" w:rsidRPr="00122D3F">
        <w:rPr>
          <w:b/>
          <w:bCs/>
          <w:sz w:val="20"/>
          <w:szCs w:val="20"/>
        </w:rPr>
        <w:t xml:space="preserve">submit a formal proposal in </w:t>
      </w:r>
      <w:r w:rsidR="00F30AA0" w:rsidRPr="00122D3F">
        <w:rPr>
          <w:b/>
          <w:bCs/>
          <w:sz w:val="20"/>
          <w:szCs w:val="20"/>
        </w:rPr>
        <w:t>response to this RFI</w:t>
      </w:r>
      <w:r w:rsidR="00407F76" w:rsidRPr="00122D3F">
        <w:rPr>
          <w:b/>
          <w:bCs/>
          <w:sz w:val="20"/>
          <w:szCs w:val="20"/>
        </w:rPr>
        <w:t xml:space="preserve"> and in the requested format</w:t>
      </w:r>
      <w:r w:rsidR="003803F6" w:rsidRPr="00122D3F">
        <w:rPr>
          <w:b/>
          <w:bCs/>
          <w:sz w:val="20"/>
          <w:szCs w:val="20"/>
        </w:rPr>
        <w:t xml:space="preserve"> to ensure consideration of their proposal.</w:t>
      </w:r>
    </w:p>
    <w:p w14:paraId="5D1889F6" w14:textId="77777777" w:rsidR="00786580" w:rsidRDefault="00786580" w:rsidP="00821F25">
      <w:pPr>
        <w:spacing w:after="0"/>
        <w:ind w:left="720"/>
        <w:rPr>
          <w:sz w:val="20"/>
          <w:szCs w:val="20"/>
        </w:rPr>
      </w:pPr>
    </w:p>
    <w:p w14:paraId="4BC4D742" w14:textId="3A751FDB" w:rsidR="00786580" w:rsidRDefault="00786580" w:rsidP="00821F25">
      <w:pPr>
        <w:spacing w:after="0"/>
        <w:ind w:left="720"/>
        <w:rPr>
          <w:sz w:val="20"/>
          <w:szCs w:val="20"/>
        </w:rPr>
      </w:pPr>
      <w:r>
        <w:rPr>
          <w:sz w:val="20"/>
          <w:szCs w:val="20"/>
        </w:rPr>
        <w:t>HCA may use responses to inform its application design, funding priorities, and legislative planning</w:t>
      </w:r>
      <w:r w:rsidR="00A66C82">
        <w:rPr>
          <w:sz w:val="20"/>
          <w:szCs w:val="20"/>
        </w:rPr>
        <w:t xml:space="preserve"> as well as to support eventual selection of implementation partners</w:t>
      </w:r>
      <w:r w:rsidR="001C555B">
        <w:rPr>
          <w:sz w:val="20"/>
          <w:szCs w:val="20"/>
        </w:rPr>
        <w:t>, vendors,</w:t>
      </w:r>
      <w:r w:rsidR="00A66C82">
        <w:rPr>
          <w:sz w:val="20"/>
          <w:szCs w:val="20"/>
        </w:rPr>
        <w:t xml:space="preserve"> or recipients of RHTP funds.</w:t>
      </w:r>
    </w:p>
    <w:p w14:paraId="3C817382" w14:textId="77777777" w:rsidR="00A66C82" w:rsidRDefault="00A66C82" w:rsidP="00A66C82">
      <w:pPr>
        <w:spacing w:after="0"/>
        <w:rPr>
          <w:sz w:val="20"/>
          <w:szCs w:val="20"/>
        </w:rPr>
      </w:pPr>
    </w:p>
    <w:p w14:paraId="608C71B4" w14:textId="34A90722" w:rsidR="009B083D" w:rsidRPr="00E05B40" w:rsidRDefault="009B083D" w:rsidP="009B083D">
      <w:pPr>
        <w:pStyle w:val="ListParagraph"/>
        <w:numPr>
          <w:ilvl w:val="0"/>
          <w:numId w:val="2"/>
        </w:numPr>
        <w:spacing w:after="0"/>
        <w:rPr>
          <w:sz w:val="20"/>
          <w:szCs w:val="20"/>
        </w:rPr>
      </w:pPr>
      <w:r>
        <w:rPr>
          <w:sz w:val="20"/>
          <w:szCs w:val="20"/>
        </w:rPr>
        <w:t>Background Information</w:t>
      </w:r>
    </w:p>
    <w:p w14:paraId="7D272A19" w14:textId="77777777" w:rsidR="00AE2386" w:rsidRDefault="00AE2386" w:rsidP="00BA69B7">
      <w:pPr>
        <w:spacing w:after="0"/>
        <w:ind w:left="720"/>
        <w:rPr>
          <w:sz w:val="20"/>
          <w:szCs w:val="20"/>
        </w:rPr>
      </w:pPr>
    </w:p>
    <w:p w14:paraId="5E106CDE" w14:textId="60A27E75" w:rsidR="005F7D65" w:rsidRDefault="00407929" w:rsidP="00E05B40">
      <w:pPr>
        <w:spacing w:after="0"/>
        <w:ind w:left="720"/>
        <w:rPr>
          <w:sz w:val="20"/>
          <w:szCs w:val="20"/>
        </w:rPr>
      </w:pPr>
      <w:r>
        <w:rPr>
          <w:sz w:val="20"/>
          <w:szCs w:val="20"/>
        </w:rPr>
        <w:t xml:space="preserve">The CMS </w:t>
      </w:r>
      <w:r w:rsidR="00A27B1B">
        <w:rPr>
          <w:sz w:val="20"/>
          <w:szCs w:val="20"/>
        </w:rPr>
        <w:t xml:space="preserve">Notice of Funding Opportunity (NOFO) CMS-RHT-26-001 </w:t>
      </w:r>
      <w:r>
        <w:rPr>
          <w:sz w:val="20"/>
          <w:szCs w:val="20"/>
        </w:rPr>
        <w:t xml:space="preserve">is available for review </w:t>
      </w:r>
      <w:r w:rsidR="005F7D65">
        <w:rPr>
          <w:sz w:val="20"/>
          <w:szCs w:val="20"/>
        </w:rPr>
        <w:t>at</w:t>
      </w:r>
      <w:r>
        <w:rPr>
          <w:sz w:val="20"/>
          <w:szCs w:val="20"/>
        </w:rPr>
        <w:t>:</w:t>
      </w:r>
    </w:p>
    <w:p w14:paraId="2A9C704D" w14:textId="6041F993" w:rsidR="009C387B" w:rsidRDefault="00407929" w:rsidP="00BA69B7">
      <w:pPr>
        <w:spacing w:after="0"/>
        <w:ind w:left="720"/>
        <w:rPr>
          <w:sz w:val="20"/>
          <w:szCs w:val="20"/>
        </w:rPr>
      </w:pPr>
      <w:r>
        <w:rPr>
          <w:sz w:val="20"/>
          <w:szCs w:val="20"/>
        </w:rPr>
        <w:t xml:space="preserve"> </w:t>
      </w:r>
      <w:hyperlink r:id="rId7" w:history="1">
        <w:r w:rsidRPr="004D7B4D">
          <w:rPr>
            <w:rStyle w:val="Hyperlink"/>
            <w:sz w:val="20"/>
            <w:szCs w:val="20"/>
          </w:rPr>
          <w:t>https://www.grants.gov/search-results-detail/360442</w:t>
        </w:r>
      </w:hyperlink>
      <w:r>
        <w:rPr>
          <w:sz w:val="20"/>
          <w:szCs w:val="20"/>
        </w:rPr>
        <w:t xml:space="preserve"> </w:t>
      </w:r>
    </w:p>
    <w:p w14:paraId="139FF6DC" w14:textId="77777777" w:rsidR="009C387B" w:rsidRDefault="009C387B" w:rsidP="00BA69B7">
      <w:pPr>
        <w:spacing w:after="0"/>
        <w:ind w:left="720"/>
        <w:rPr>
          <w:sz w:val="20"/>
          <w:szCs w:val="20"/>
        </w:rPr>
      </w:pPr>
    </w:p>
    <w:p w14:paraId="57234D4D" w14:textId="6038442E" w:rsidR="003347AE" w:rsidRDefault="00474AF2" w:rsidP="00BA69B7">
      <w:pPr>
        <w:spacing w:after="0"/>
        <w:ind w:left="720"/>
        <w:rPr>
          <w:sz w:val="20"/>
          <w:szCs w:val="20"/>
        </w:rPr>
      </w:pPr>
      <w:r>
        <w:rPr>
          <w:sz w:val="20"/>
          <w:szCs w:val="20"/>
        </w:rPr>
        <w:t xml:space="preserve">In addition, the grant application can be viewed </w:t>
      </w:r>
      <w:r w:rsidR="009D4DB4">
        <w:rPr>
          <w:sz w:val="20"/>
          <w:szCs w:val="20"/>
        </w:rPr>
        <w:t xml:space="preserve">on </w:t>
      </w:r>
      <w:r w:rsidR="009A0F2A">
        <w:rPr>
          <w:sz w:val="20"/>
          <w:szCs w:val="20"/>
        </w:rPr>
        <w:t>Grants.gov at</w:t>
      </w:r>
      <w:r>
        <w:rPr>
          <w:sz w:val="20"/>
          <w:szCs w:val="20"/>
        </w:rPr>
        <w:t>:</w:t>
      </w:r>
    </w:p>
    <w:p w14:paraId="600637BF" w14:textId="264FC2F1" w:rsidR="00474AF2" w:rsidRPr="003E208F" w:rsidRDefault="003E208F" w:rsidP="00BA69B7">
      <w:pPr>
        <w:spacing w:after="0"/>
        <w:ind w:left="720"/>
        <w:rPr>
          <w:sz w:val="20"/>
          <w:szCs w:val="20"/>
        </w:rPr>
      </w:pPr>
      <w:r w:rsidRPr="751721FD">
        <w:rPr>
          <w:sz w:val="20"/>
          <w:szCs w:val="20"/>
        </w:rPr>
        <w:t>https://www.grants.gov/search-results-detail/360442</w:t>
      </w:r>
    </w:p>
    <w:p w14:paraId="7EC34F4F" w14:textId="77777777" w:rsidR="003347AE" w:rsidRDefault="003347AE" w:rsidP="00BA69B7">
      <w:pPr>
        <w:spacing w:after="0"/>
        <w:ind w:left="720"/>
        <w:rPr>
          <w:sz w:val="20"/>
          <w:szCs w:val="20"/>
        </w:rPr>
      </w:pPr>
    </w:p>
    <w:p w14:paraId="6D78669C" w14:textId="44060FEE" w:rsidR="00362BD2" w:rsidRDefault="00362BD2" w:rsidP="00E14178">
      <w:pPr>
        <w:spacing w:after="0"/>
        <w:ind w:left="720"/>
        <w:rPr>
          <w:sz w:val="20"/>
          <w:szCs w:val="20"/>
        </w:rPr>
      </w:pPr>
      <w:r>
        <w:rPr>
          <w:sz w:val="20"/>
          <w:szCs w:val="20"/>
        </w:rPr>
        <w:t xml:space="preserve">Applications are due to </w:t>
      </w:r>
      <w:r w:rsidRPr="00362BD2">
        <w:rPr>
          <w:sz w:val="20"/>
          <w:szCs w:val="20"/>
        </w:rPr>
        <w:t xml:space="preserve">CMS </w:t>
      </w:r>
      <w:r w:rsidR="007C2FE0">
        <w:rPr>
          <w:sz w:val="20"/>
          <w:szCs w:val="20"/>
        </w:rPr>
        <w:t xml:space="preserve">on November 5, 2025 and CMS will approve or </w:t>
      </w:r>
      <w:r w:rsidR="007C2FE0" w:rsidRPr="00362BD2">
        <w:rPr>
          <w:sz w:val="20"/>
          <w:szCs w:val="20"/>
        </w:rPr>
        <w:t>deny all applications no later than December 31, 2025</w:t>
      </w:r>
      <w:r w:rsidR="007C2FE0">
        <w:rPr>
          <w:sz w:val="20"/>
          <w:szCs w:val="20"/>
        </w:rPr>
        <w:t>.</w:t>
      </w:r>
      <w:r w:rsidR="007C2FE0" w:rsidRPr="00362BD2">
        <w:rPr>
          <w:sz w:val="20"/>
          <w:szCs w:val="20"/>
        </w:rPr>
        <w:t xml:space="preserve"> If approved, states are eligible for annual allotments for federal fiscal years 2026 through 2030.</w:t>
      </w:r>
    </w:p>
    <w:p w14:paraId="4D89E3FC" w14:textId="77777777" w:rsidR="00362BD2" w:rsidRDefault="00362BD2" w:rsidP="00BA69B7">
      <w:pPr>
        <w:spacing w:after="0"/>
        <w:ind w:left="720"/>
        <w:rPr>
          <w:sz w:val="20"/>
          <w:szCs w:val="20"/>
        </w:rPr>
      </w:pPr>
    </w:p>
    <w:p w14:paraId="244F9B00" w14:textId="4E658373" w:rsidR="00362BD2" w:rsidRDefault="00B403D3" w:rsidP="00B403D3">
      <w:pPr>
        <w:pStyle w:val="ListParagraph"/>
        <w:numPr>
          <w:ilvl w:val="0"/>
          <w:numId w:val="2"/>
        </w:numPr>
        <w:spacing w:after="0"/>
        <w:rPr>
          <w:sz w:val="20"/>
          <w:szCs w:val="20"/>
        </w:rPr>
      </w:pPr>
      <w:r>
        <w:rPr>
          <w:sz w:val="20"/>
          <w:szCs w:val="20"/>
        </w:rPr>
        <w:t>Funding Availability</w:t>
      </w:r>
    </w:p>
    <w:p w14:paraId="5C009EC8" w14:textId="77777777" w:rsidR="000020AB" w:rsidRDefault="000020AB" w:rsidP="000020AB">
      <w:pPr>
        <w:pStyle w:val="ListParagraph"/>
        <w:spacing w:after="0"/>
        <w:rPr>
          <w:sz w:val="20"/>
          <w:szCs w:val="20"/>
        </w:rPr>
      </w:pPr>
    </w:p>
    <w:p w14:paraId="0D740392" w14:textId="69FDE840" w:rsidR="00A6097F" w:rsidRDefault="000020AB" w:rsidP="00A6097F">
      <w:pPr>
        <w:pStyle w:val="ListParagraph"/>
        <w:spacing w:after="0"/>
        <w:rPr>
          <w:sz w:val="20"/>
          <w:szCs w:val="20"/>
        </w:rPr>
      </w:pPr>
      <w:r>
        <w:rPr>
          <w:sz w:val="20"/>
          <w:szCs w:val="20"/>
        </w:rPr>
        <w:t>Total funding available to all 50 states is $50 billion over five years</w:t>
      </w:r>
      <w:r w:rsidR="00A6097F">
        <w:rPr>
          <w:sz w:val="20"/>
          <w:szCs w:val="20"/>
        </w:rPr>
        <w:t xml:space="preserve">, federal fiscal years (FFY) 2026 through 2030, to be allocated via two </w:t>
      </w:r>
      <w:r w:rsidR="00F24B17">
        <w:rPr>
          <w:sz w:val="20"/>
          <w:szCs w:val="20"/>
        </w:rPr>
        <w:t>mechanisms</w:t>
      </w:r>
      <w:r w:rsidR="00A6097F">
        <w:rPr>
          <w:sz w:val="20"/>
          <w:szCs w:val="20"/>
        </w:rPr>
        <w:t>:</w:t>
      </w:r>
    </w:p>
    <w:p w14:paraId="78CD97D7" w14:textId="77777777" w:rsidR="00A6097F" w:rsidRDefault="00A6097F" w:rsidP="00A6097F">
      <w:pPr>
        <w:pStyle w:val="ListParagraph"/>
        <w:spacing w:after="0"/>
        <w:rPr>
          <w:sz w:val="20"/>
          <w:szCs w:val="20"/>
        </w:rPr>
      </w:pPr>
    </w:p>
    <w:p w14:paraId="79A027C2" w14:textId="17031118" w:rsidR="00A6097F" w:rsidRDefault="00D02D9B" w:rsidP="00D02D9B">
      <w:pPr>
        <w:pStyle w:val="ListParagraph"/>
        <w:numPr>
          <w:ilvl w:val="0"/>
          <w:numId w:val="5"/>
        </w:numPr>
        <w:spacing w:after="0"/>
        <w:rPr>
          <w:sz w:val="20"/>
          <w:szCs w:val="20"/>
        </w:rPr>
      </w:pPr>
      <w:r>
        <w:rPr>
          <w:sz w:val="20"/>
          <w:szCs w:val="20"/>
        </w:rPr>
        <w:t>$25 billion distributed equally among all states with an approved application</w:t>
      </w:r>
    </w:p>
    <w:p w14:paraId="618A8A53" w14:textId="0F0D3196" w:rsidR="00D02D9B" w:rsidRDefault="00D02D9B" w:rsidP="00D02D9B">
      <w:pPr>
        <w:pStyle w:val="ListParagraph"/>
        <w:numPr>
          <w:ilvl w:val="0"/>
          <w:numId w:val="5"/>
        </w:numPr>
        <w:spacing w:after="0"/>
        <w:rPr>
          <w:sz w:val="20"/>
          <w:szCs w:val="20"/>
        </w:rPr>
      </w:pPr>
      <w:r>
        <w:rPr>
          <w:sz w:val="20"/>
          <w:szCs w:val="20"/>
        </w:rPr>
        <w:t xml:space="preserve">$25 billion distributed based on </w:t>
      </w:r>
      <w:r w:rsidR="00F24B17">
        <w:rPr>
          <w:sz w:val="20"/>
          <w:szCs w:val="20"/>
        </w:rPr>
        <w:t>competitive</w:t>
      </w:r>
      <w:r>
        <w:rPr>
          <w:sz w:val="20"/>
          <w:szCs w:val="20"/>
        </w:rPr>
        <w:t xml:space="preserve"> scoring and rural </w:t>
      </w:r>
      <w:r w:rsidR="00F24B17">
        <w:rPr>
          <w:sz w:val="20"/>
          <w:szCs w:val="20"/>
        </w:rPr>
        <w:t>factors</w:t>
      </w:r>
    </w:p>
    <w:p w14:paraId="4E7A5EE4" w14:textId="77777777" w:rsidR="00F24B17" w:rsidRDefault="00F24B17" w:rsidP="00F24B17">
      <w:pPr>
        <w:spacing w:after="0"/>
        <w:ind w:left="720"/>
        <w:rPr>
          <w:sz w:val="20"/>
          <w:szCs w:val="20"/>
        </w:rPr>
      </w:pPr>
    </w:p>
    <w:p w14:paraId="05AC9980" w14:textId="340F1534" w:rsidR="00F24B17" w:rsidRDefault="00F24B17" w:rsidP="00F24B17">
      <w:pPr>
        <w:spacing w:after="0"/>
        <w:ind w:left="720"/>
        <w:rPr>
          <w:sz w:val="20"/>
          <w:szCs w:val="20"/>
        </w:rPr>
      </w:pPr>
      <w:r>
        <w:rPr>
          <w:sz w:val="20"/>
          <w:szCs w:val="20"/>
        </w:rPr>
        <w:t xml:space="preserve">Funding will be allocated to all states with an approved application, but there is no guarantee that all </w:t>
      </w:r>
      <w:r w:rsidR="004A17E5">
        <w:rPr>
          <w:sz w:val="20"/>
          <w:szCs w:val="20"/>
        </w:rPr>
        <w:t xml:space="preserve">state applicants will be awarded. Once allocated, states are anticipated to engage a combination of vendors, health care providers, and other community partners </w:t>
      </w:r>
      <w:r w:rsidR="00AC0645">
        <w:rPr>
          <w:sz w:val="20"/>
          <w:szCs w:val="20"/>
        </w:rPr>
        <w:t xml:space="preserve">to implement approved initiatives. </w:t>
      </w:r>
    </w:p>
    <w:p w14:paraId="2C9B882A" w14:textId="77777777" w:rsidR="00AC0645" w:rsidRDefault="00AC0645" w:rsidP="00F24B17">
      <w:pPr>
        <w:spacing w:after="0"/>
        <w:ind w:left="720"/>
        <w:rPr>
          <w:sz w:val="20"/>
          <w:szCs w:val="20"/>
        </w:rPr>
      </w:pPr>
    </w:p>
    <w:p w14:paraId="42B028A6" w14:textId="77777777" w:rsidR="00A07618" w:rsidRDefault="00AC0645" w:rsidP="00F24B17">
      <w:pPr>
        <w:spacing w:after="0"/>
        <w:ind w:left="720"/>
        <w:rPr>
          <w:sz w:val="20"/>
          <w:szCs w:val="20"/>
        </w:rPr>
      </w:pPr>
      <w:r>
        <w:rPr>
          <w:sz w:val="20"/>
          <w:szCs w:val="20"/>
        </w:rPr>
        <w:t xml:space="preserve">Expenditures cannot supplant existing funding, including Medicaid reimbursement, and must not be duplicative of other state programs. </w:t>
      </w:r>
    </w:p>
    <w:p w14:paraId="54E983B7" w14:textId="77777777" w:rsidR="00A07618" w:rsidRDefault="00A07618" w:rsidP="00F24B17">
      <w:pPr>
        <w:spacing w:after="0"/>
        <w:ind w:left="720"/>
        <w:rPr>
          <w:sz w:val="20"/>
          <w:szCs w:val="20"/>
        </w:rPr>
      </w:pPr>
    </w:p>
    <w:p w14:paraId="156E3EC8" w14:textId="7B144D61" w:rsidR="00AC0645" w:rsidRDefault="00A07618" w:rsidP="00F24B17">
      <w:pPr>
        <w:spacing w:after="0"/>
        <w:ind w:left="720"/>
        <w:rPr>
          <w:sz w:val="20"/>
          <w:szCs w:val="20"/>
        </w:rPr>
      </w:pPr>
      <w:r>
        <w:rPr>
          <w:sz w:val="20"/>
          <w:szCs w:val="20"/>
        </w:rPr>
        <w:t>All funding is also subject to the following limits:</w:t>
      </w:r>
    </w:p>
    <w:p w14:paraId="620D43AC" w14:textId="17B107E0" w:rsidR="00A07618" w:rsidRDefault="00A07618" w:rsidP="00A07618">
      <w:pPr>
        <w:pStyle w:val="ListParagraph"/>
        <w:numPr>
          <w:ilvl w:val="0"/>
          <w:numId w:val="5"/>
        </w:numPr>
        <w:spacing w:after="0"/>
        <w:rPr>
          <w:sz w:val="20"/>
          <w:szCs w:val="20"/>
        </w:rPr>
      </w:pPr>
      <w:r>
        <w:rPr>
          <w:sz w:val="20"/>
          <w:szCs w:val="20"/>
        </w:rPr>
        <w:t>No more than 15% for direct payments to providers</w:t>
      </w:r>
    </w:p>
    <w:p w14:paraId="5E6E8DAB" w14:textId="321EB274" w:rsidR="00A07618" w:rsidRDefault="00A07618" w:rsidP="00A07618">
      <w:pPr>
        <w:pStyle w:val="ListParagraph"/>
        <w:numPr>
          <w:ilvl w:val="0"/>
          <w:numId w:val="5"/>
        </w:numPr>
        <w:spacing w:after="0"/>
        <w:rPr>
          <w:sz w:val="20"/>
          <w:szCs w:val="20"/>
        </w:rPr>
      </w:pPr>
      <w:r>
        <w:rPr>
          <w:sz w:val="20"/>
          <w:szCs w:val="20"/>
        </w:rPr>
        <w:t xml:space="preserve">No more than 20% for infrastructure activities </w:t>
      </w:r>
    </w:p>
    <w:p w14:paraId="40756CBD" w14:textId="6984550C" w:rsidR="00A07618" w:rsidRDefault="00A07618" w:rsidP="00A07618">
      <w:pPr>
        <w:pStyle w:val="ListParagraph"/>
        <w:numPr>
          <w:ilvl w:val="0"/>
          <w:numId w:val="5"/>
        </w:numPr>
        <w:spacing w:after="0"/>
        <w:rPr>
          <w:sz w:val="20"/>
          <w:szCs w:val="20"/>
        </w:rPr>
      </w:pPr>
      <w:r>
        <w:rPr>
          <w:sz w:val="20"/>
          <w:szCs w:val="20"/>
        </w:rPr>
        <w:t>No funding will be approved for new construction</w:t>
      </w:r>
    </w:p>
    <w:p w14:paraId="1658B72C" w14:textId="56DDE197" w:rsidR="00A07618" w:rsidRDefault="00A07618" w:rsidP="00A07618">
      <w:pPr>
        <w:pStyle w:val="ListParagraph"/>
        <w:numPr>
          <w:ilvl w:val="0"/>
          <w:numId w:val="5"/>
        </w:numPr>
        <w:spacing w:after="0"/>
        <w:rPr>
          <w:sz w:val="20"/>
          <w:szCs w:val="20"/>
        </w:rPr>
      </w:pPr>
      <w:r>
        <w:rPr>
          <w:sz w:val="20"/>
          <w:szCs w:val="20"/>
        </w:rPr>
        <w:t>No more than 10% for administrative expenses</w:t>
      </w:r>
    </w:p>
    <w:p w14:paraId="6C825F21" w14:textId="77777777" w:rsidR="00B21057" w:rsidRDefault="00B21057" w:rsidP="00B21057">
      <w:pPr>
        <w:spacing w:after="0"/>
        <w:ind w:left="720"/>
        <w:rPr>
          <w:sz w:val="20"/>
          <w:szCs w:val="20"/>
        </w:rPr>
      </w:pPr>
    </w:p>
    <w:p w14:paraId="71FFAD45" w14:textId="4DD15826" w:rsidR="00B21057" w:rsidRDefault="000E43CF" w:rsidP="00B21057">
      <w:pPr>
        <w:spacing w:after="0"/>
        <w:ind w:left="720"/>
        <w:rPr>
          <w:sz w:val="20"/>
          <w:szCs w:val="20"/>
        </w:rPr>
      </w:pPr>
      <w:r>
        <w:rPr>
          <w:sz w:val="20"/>
          <w:szCs w:val="20"/>
        </w:rPr>
        <w:t xml:space="preserve">Funding availability for RHTP initiatives will be dependent upon an approved federal allotment and associated implementation plans. </w:t>
      </w:r>
    </w:p>
    <w:p w14:paraId="021EF401" w14:textId="77777777" w:rsidR="000E43CF" w:rsidRDefault="000E43CF" w:rsidP="000E43CF">
      <w:pPr>
        <w:spacing w:after="0"/>
        <w:rPr>
          <w:sz w:val="20"/>
          <w:szCs w:val="20"/>
        </w:rPr>
      </w:pPr>
    </w:p>
    <w:p w14:paraId="66A4FC9B" w14:textId="5CD445EA" w:rsidR="000E43CF" w:rsidRDefault="004C392D" w:rsidP="000E43CF">
      <w:pPr>
        <w:pStyle w:val="ListParagraph"/>
        <w:numPr>
          <w:ilvl w:val="0"/>
          <w:numId w:val="2"/>
        </w:numPr>
        <w:spacing w:after="0"/>
        <w:rPr>
          <w:sz w:val="20"/>
          <w:szCs w:val="20"/>
        </w:rPr>
      </w:pPr>
      <w:r>
        <w:rPr>
          <w:sz w:val="20"/>
          <w:szCs w:val="20"/>
        </w:rPr>
        <w:t>Effective Date</w:t>
      </w:r>
    </w:p>
    <w:p w14:paraId="2D094436" w14:textId="77777777" w:rsidR="004C392D" w:rsidRDefault="004C392D" w:rsidP="004C392D">
      <w:pPr>
        <w:pStyle w:val="ListParagraph"/>
        <w:spacing w:after="0"/>
        <w:rPr>
          <w:sz w:val="20"/>
          <w:szCs w:val="20"/>
        </w:rPr>
      </w:pPr>
    </w:p>
    <w:p w14:paraId="7C7BD0DD" w14:textId="3986B936" w:rsidR="004C392D" w:rsidRDefault="004C392D" w:rsidP="004C392D">
      <w:pPr>
        <w:pStyle w:val="ListParagraph"/>
        <w:spacing w:after="0"/>
        <w:rPr>
          <w:sz w:val="20"/>
          <w:szCs w:val="20"/>
        </w:rPr>
      </w:pPr>
      <w:r>
        <w:rPr>
          <w:sz w:val="20"/>
          <w:szCs w:val="20"/>
        </w:rPr>
        <w:t xml:space="preserve">CMS </w:t>
      </w:r>
      <w:r w:rsidR="00A27B1B">
        <w:rPr>
          <w:sz w:val="20"/>
          <w:szCs w:val="20"/>
        </w:rPr>
        <w:t xml:space="preserve">posted the </w:t>
      </w:r>
      <w:r w:rsidR="00C61EFB">
        <w:rPr>
          <w:sz w:val="20"/>
          <w:szCs w:val="20"/>
        </w:rPr>
        <w:t xml:space="preserve">RHTP NOFO on </w:t>
      </w:r>
      <w:r w:rsidR="00492B6F">
        <w:rPr>
          <w:sz w:val="20"/>
          <w:szCs w:val="20"/>
        </w:rPr>
        <w:t xml:space="preserve">September 15, 2025 with a state grant application due date of November 5, 2025. HCA is posting this RFI on </w:t>
      </w:r>
      <w:r w:rsidR="005964BB">
        <w:rPr>
          <w:sz w:val="20"/>
          <w:szCs w:val="20"/>
        </w:rPr>
        <w:t xml:space="preserve">September </w:t>
      </w:r>
      <w:r w:rsidR="005964BB" w:rsidRPr="751721FD">
        <w:rPr>
          <w:sz w:val="20"/>
          <w:szCs w:val="20"/>
        </w:rPr>
        <w:t>2</w:t>
      </w:r>
      <w:r w:rsidR="5AA76EE9" w:rsidRPr="751721FD">
        <w:rPr>
          <w:sz w:val="20"/>
          <w:szCs w:val="20"/>
        </w:rPr>
        <w:t>3</w:t>
      </w:r>
      <w:r w:rsidR="005964BB">
        <w:rPr>
          <w:sz w:val="20"/>
          <w:szCs w:val="20"/>
        </w:rPr>
        <w:t xml:space="preserve">, 2025 and the deadline for responses is </w:t>
      </w:r>
      <w:r w:rsidR="00C0068C">
        <w:rPr>
          <w:sz w:val="20"/>
          <w:szCs w:val="20"/>
        </w:rPr>
        <w:t xml:space="preserve">5:00pm </w:t>
      </w:r>
      <w:r w:rsidR="0046070A">
        <w:rPr>
          <w:sz w:val="20"/>
          <w:szCs w:val="20"/>
        </w:rPr>
        <w:t>M</w:t>
      </w:r>
      <w:r w:rsidR="00EA3B43">
        <w:rPr>
          <w:sz w:val="20"/>
          <w:szCs w:val="20"/>
        </w:rPr>
        <w:t>D</w:t>
      </w:r>
      <w:r w:rsidR="0046070A">
        <w:rPr>
          <w:sz w:val="20"/>
          <w:szCs w:val="20"/>
        </w:rPr>
        <w:t xml:space="preserve">T </w:t>
      </w:r>
      <w:r w:rsidR="0016749F">
        <w:rPr>
          <w:sz w:val="20"/>
          <w:szCs w:val="20"/>
        </w:rPr>
        <w:t xml:space="preserve">on </w:t>
      </w:r>
      <w:r w:rsidR="00F35A69">
        <w:rPr>
          <w:sz w:val="20"/>
          <w:szCs w:val="20"/>
        </w:rPr>
        <w:t xml:space="preserve">October 3, 2025. Responses will be reviewed continuously as they are received. </w:t>
      </w:r>
      <w:r w:rsidR="007410AE">
        <w:rPr>
          <w:sz w:val="20"/>
          <w:szCs w:val="20"/>
        </w:rPr>
        <w:t>HCA encourages early submission of responses to support timely consideration.</w:t>
      </w:r>
      <w:r w:rsidR="00B00F4B">
        <w:rPr>
          <w:sz w:val="20"/>
          <w:szCs w:val="20"/>
        </w:rPr>
        <w:t xml:space="preserve"> Responses received after the October 3 deadline will not be considered</w:t>
      </w:r>
      <w:r w:rsidR="00015E3C">
        <w:rPr>
          <w:sz w:val="20"/>
          <w:szCs w:val="20"/>
        </w:rPr>
        <w:t>.</w:t>
      </w:r>
    </w:p>
    <w:p w14:paraId="36DA0829" w14:textId="6E22C784" w:rsidR="7CEBD7D9" w:rsidRDefault="7CEBD7D9" w:rsidP="7CEBD7D9">
      <w:pPr>
        <w:pStyle w:val="ListParagraph"/>
        <w:spacing w:after="0"/>
        <w:rPr>
          <w:sz w:val="20"/>
          <w:szCs w:val="20"/>
        </w:rPr>
      </w:pPr>
    </w:p>
    <w:p w14:paraId="72DEBE98" w14:textId="7FD10019" w:rsidR="6CA2A816" w:rsidRDefault="6CA2A816" w:rsidP="751721FD">
      <w:pPr>
        <w:spacing w:after="0"/>
        <w:ind w:left="227" w:firstLine="720"/>
        <w:rPr>
          <w:rFonts w:ascii="Times New Roman" w:eastAsia="Times New Roman" w:hAnsi="Times New Roman" w:cs="Times New Roman"/>
          <w:color w:val="0000FF"/>
        </w:rPr>
      </w:pPr>
      <w:hyperlink r:id="rId8">
        <w:r w:rsidRPr="751721FD">
          <w:rPr>
            <w:rStyle w:val="Hyperlink"/>
            <w:rFonts w:ascii="Times New Roman" w:eastAsia="Times New Roman" w:hAnsi="Times New Roman" w:cs="Times New Roman"/>
            <w:color w:val="0000FF"/>
          </w:rPr>
          <w:t xml:space="preserve">New Mexico </w:t>
        </w:r>
        <w:r w:rsidR="003E208F" w:rsidRPr="751721FD">
          <w:rPr>
            <w:rStyle w:val="Hyperlink"/>
            <w:rFonts w:ascii="Times New Roman" w:eastAsia="Times New Roman" w:hAnsi="Times New Roman" w:cs="Times New Roman"/>
            <w:color w:val="0000FF"/>
          </w:rPr>
          <w:t>Health Care Authority</w:t>
        </w:r>
      </w:hyperlink>
    </w:p>
    <w:p w14:paraId="379BB251" w14:textId="07B9CE25" w:rsidR="6CA2A816" w:rsidRDefault="6CA2A816" w:rsidP="751721FD">
      <w:pPr>
        <w:spacing w:after="0"/>
        <w:ind w:left="200" w:firstLine="720"/>
        <w:rPr>
          <w:rStyle w:val="Hyperlink"/>
          <w:rFonts w:ascii="Times New Roman" w:eastAsia="Times New Roman" w:hAnsi="Times New Roman" w:cs="Times New Roman"/>
          <w:color w:val="0000FF"/>
        </w:rPr>
      </w:pPr>
      <w:hyperlink r:id="rId9">
        <w:r w:rsidRPr="751721FD">
          <w:rPr>
            <w:rStyle w:val="Hyperlink"/>
            <w:rFonts w:ascii="Times New Roman" w:eastAsia="Times New Roman" w:hAnsi="Times New Roman" w:cs="Times New Roman"/>
            <w:color w:val="0000FF"/>
          </w:rPr>
          <w:t>Open RFPs | New Mexico Health Care Authority Department (state.nm.us)</w:t>
        </w:r>
      </w:hyperlink>
    </w:p>
    <w:p w14:paraId="348071AD" w14:textId="2012E30A" w:rsidR="7CEBD7D9" w:rsidRDefault="7CEBD7D9" w:rsidP="7CEBD7D9">
      <w:pPr>
        <w:pStyle w:val="ListParagraph"/>
        <w:spacing w:after="0"/>
        <w:rPr>
          <w:sz w:val="20"/>
          <w:szCs w:val="20"/>
        </w:rPr>
      </w:pPr>
    </w:p>
    <w:p w14:paraId="7528CECA" w14:textId="77777777" w:rsidR="00274BA0" w:rsidRDefault="00274BA0" w:rsidP="004C392D">
      <w:pPr>
        <w:pStyle w:val="ListParagraph"/>
        <w:spacing w:after="0"/>
        <w:rPr>
          <w:sz w:val="20"/>
          <w:szCs w:val="20"/>
        </w:rPr>
      </w:pPr>
    </w:p>
    <w:p w14:paraId="364D0ED3" w14:textId="626CC902" w:rsidR="00274BA0" w:rsidRDefault="00274BA0" w:rsidP="004C392D">
      <w:pPr>
        <w:pStyle w:val="ListParagraph"/>
        <w:spacing w:after="0"/>
        <w:rPr>
          <w:sz w:val="20"/>
          <w:szCs w:val="20"/>
        </w:rPr>
      </w:pPr>
      <w:r>
        <w:rPr>
          <w:sz w:val="20"/>
          <w:szCs w:val="20"/>
        </w:rPr>
        <w:t>HCA may publish a summary of public i</w:t>
      </w:r>
      <w:r w:rsidR="00D50DEE">
        <w:rPr>
          <w:sz w:val="20"/>
          <w:szCs w:val="20"/>
        </w:rPr>
        <w:t xml:space="preserve">nput received via this RFI.  </w:t>
      </w:r>
    </w:p>
    <w:p w14:paraId="0D427C01" w14:textId="77777777" w:rsidR="00F35A69" w:rsidRDefault="00F35A69" w:rsidP="00F35A69">
      <w:pPr>
        <w:spacing w:after="0"/>
        <w:rPr>
          <w:sz w:val="20"/>
          <w:szCs w:val="20"/>
        </w:rPr>
      </w:pPr>
    </w:p>
    <w:p w14:paraId="092D37A3" w14:textId="30D09C32" w:rsidR="00F35A69" w:rsidRDefault="00E05B40" w:rsidP="00F35A69">
      <w:pPr>
        <w:pStyle w:val="ListParagraph"/>
        <w:numPr>
          <w:ilvl w:val="0"/>
          <w:numId w:val="2"/>
        </w:numPr>
        <w:spacing w:after="0"/>
        <w:rPr>
          <w:sz w:val="20"/>
          <w:szCs w:val="20"/>
        </w:rPr>
      </w:pPr>
      <w:r>
        <w:rPr>
          <w:sz w:val="20"/>
          <w:szCs w:val="20"/>
        </w:rPr>
        <w:t>Project Description and Target Population</w:t>
      </w:r>
    </w:p>
    <w:p w14:paraId="44D86E0F" w14:textId="77777777" w:rsidR="00E05B40" w:rsidRDefault="00E05B40" w:rsidP="00E05B40">
      <w:pPr>
        <w:pStyle w:val="ListParagraph"/>
        <w:spacing w:after="0"/>
        <w:rPr>
          <w:sz w:val="20"/>
          <w:szCs w:val="20"/>
        </w:rPr>
      </w:pPr>
    </w:p>
    <w:p w14:paraId="3BF1393C" w14:textId="77777777" w:rsidR="00E05B40" w:rsidRPr="008D2E5A" w:rsidRDefault="00E05B40" w:rsidP="00E05B40">
      <w:pPr>
        <w:spacing w:after="0"/>
        <w:ind w:left="720"/>
        <w:rPr>
          <w:sz w:val="20"/>
          <w:szCs w:val="20"/>
        </w:rPr>
      </w:pPr>
      <w:r w:rsidRPr="008D2E5A">
        <w:rPr>
          <w:sz w:val="20"/>
          <w:szCs w:val="20"/>
        </w:rPr>
        <w:t>The RHTP requires states to submit a grant application that includes a detailed rural health transformation plan to the Centers for Medicare &amp; Medicaid Services (CMS):</w:t>
      </w:r>
    </w:p>
    <w:p w14:paraId="302D8239" w14:textId="77777777" w:rsidR="00E05B40" w:rsidRPr="008D2E5A" w:rsidRDefault="00E05B40" w:rsidP="00E05B40">
      <w:pPr>
        <w:spacing w:after="0"/>
        <w:ind w:left="720"/>
        <w:rPr>
          <w:sz w:val="20"/>
          <w:szCs w:val="20"/>
        </w:rPr>
      </w:pPr>
    </w:p>
    <w:p w14:paraId="5CE98CDD" w14:textId="77777777" w:rsidR="00E05B40" w:rsidRPr="000543E8" w:rsidRDefault="00E05B40" w:rsidP="00E05B40">
      <w:pPr>
        <w:pStyle w:val="ListParagraph"/>
        <w:numPr>
          <w:ilvl w:val="0"/>
          <w:numId w:val="7"/>
        </w:numPr>
        <w:spacing w:after="0"/>
        <w:rPr>
          <w:sz w:val="20"/>
          <w:szCs w:val="20"/>
        </w:rPr>
      </w:pPr>
      <w:r w:rsidRPr="000543E8">
        <w:rPr>
          <w:sz w:val="20"/>
          <w:szCs w:val="20"/>
        </w:rPr>
        <w:t>To improve access to hospitals, other health care providers, and health care items and services furnished to rural residents of the State of New Mexico</w:t>
      </w:r>
    </w:p>
    <w:p w14:paraId="06CDD10E" w14:textId="77777777" w:rsidR="00E05B40" w:rsidRPr="000543E8" w:rsidRDefault="00E05B40" w:rsidP="00E05B40">
      <w:pPr>
        <w:pStyle w:val="ListParagraph"/>
        <w:numPr>
          <w:ilvl w:val="0"/>
          <w:numId w:val="7"/>
        </w:numPr>
        <w:spacing w:after="0"/>
        <w:rPr>
          <w:sz w:val="20"/>
          <w:szCs w:val="20"/>
        </w:rPr>
      </w:pPr>
      <w:r w:rsidRPr="000543E8">
        <w:rPr>
          <w:sz w:val="20"/>
          <w:szCs w:val="20"/>
        </w:rPr>
        <w:t>To improve health care outcomes for rural residents of the State</w:t>
      </w:r>
    </w:p>
    <w:p w14:paraId="20D9C69A" w14:textId="77777777" w:rsidR="00E05B40" w:rsidRPr="000543E8" w:rsidRDefault="00E05B40" w:rsidP="00E05B40">
      <w:pPr>
        <w:pStyle w:val="ListParagraph"/>
        <w:numPr>
          <w:ilvl w:val="0"/>
          <w:numId w:val="7"/>
        </w:numPr>
        <w:spacing w:after="0"/>
        <w:rPr>
          <w:sz w:val="20"/>
          <w:szCs w:val="20"/>
        </w:rPr>
      </w:pPr>
      <w:r w:rsidRPr="000543E8">
        <w:rPr>
          <w:sz w:val="20"/>
          <w:szCs w:val="20"/>
        </w:rPr>
        <w:t>To prioritize the use of new and emerging technologies that emphasize prevention and chronic disease management</w:t>
      </w:r>
    </w:p>
    <w:p w14:paraId="5DA4C47B" w14:textId="77777777" w:rsidR="00E05B40" w:rsidRPr="000543E8" w:rsidRDefault="00E05B40" w:rsidP="00E05B40">
      <w:pPr>
        <w:pStyle w:val="ListParagraph"/>
        <w:numPr>
          <w:ilvl w:val="0"/>
          <w:numId w:val="7"/>
        </w:numPr>
        <w:spacing w:after="0"/>
        <w:rPr>
          <w:sz w:val="20"/>
          <w:szCs w:val="20"/>
        </w:rPr>
      </w:pPr>
      <w:r w:rsidRPr="000543E8">
        <w:rPr>
          <w:sz w:val="20"/>
          <w:szCs w:val="20"/>
        </w:rPr>
        <w:t>To initiate, foster, and strengthen local and regional strategic partnerships between rural hospitals and other health care providers in order to promote measurable quality improvements, increase financial stability, maximize economies of scale, and share best practices in care delivery</w:t>
      </w:r>
    </w:p>
    <w:p w14:paraId="151287EA" w14:textId="77777777" w:rsidR="00E05B40" w:rsidRPr="000543E8" w:rsidRDefault="00E05B40" w:rsidP="00E05B40">
      <w:pPr>
        <w:pStyle w:val="ListParagraph"/>
        <w:numPr>
          <w:ilvl w:val="0"/>
          <w:numId w:val="7"/>
        </w:numPr>
        <w:spacing w:after="0"/>
        <w:rPr>
          <w:sz w:val="20"/>
          <w:szCs w:val="20"/>
        </w:rPr>
      </w:pPr>
      <w:r w:rsidRPr="000543E8">
        <w:rPr>
          <w:sz w:val="20"/>
          <w:szCs w:val="20"/>
        </w:rPr>
        <w:t>To enhance economic opportunity for, and the supply of, health care clinicians through enhanced recruitment and training</w:t>
      </w:r>
    </w:p>
    <w:p w14:paraId="02F4DEB3" w14:textId="77777777" w:rsidR="00E05B40" w:rsidRPr="000543E8" w:rsidRDefault="00E05B40" w:rsidP="00E05B40">
      <w:pPr>
        <w:pStyle w:val="ListParagraph"/>
        <w:numPr>
          <w:ilvl w:val="0"/>
          <w:numId w:val="7"/>
        </w:numPr>
        <w:spacing w:after="0"/>
        <w:rPr>
          <w:sz w:val="20"/>
          <w:szCs w:val="20"/>
        </w:rPr>
      </w:pPr>
      <w:r w:rsidRPr="000543E8">
        <w:rPr>
          <w:sz w:val="20"/>
          <w:szCs w:val="20"/>
        </w:rPr>
        <w:t>To prioritize data and technology driven solutions that assist rural hospitals and other rural health care providers in delivering high-quality health care services as close to a patient’s home as possible</w:t>
      </w:r>
    </w:p>
    <w:p w14:paraId="07101F78" w14:textId="77777777" w:rsidR="00E05B40" w:rsidRPr="000543E8" w:rsidRDefault="00E05B40" w:rsidP="00E05B40">
      <w:pPr>
        <w:pStyle w:val="ListParagraph"/>
        <w:numPr>
          <w:ilvl w:val="0"/>
          <w:numId w:val="7"/>
        </w:numPr>
        <w:spacing w:after="0"/>
        <w:rPr>
          <w:sz w:val="20"/>
          <w:szCs w:val="20"/>
        </w:rPr>
      </w:pPr>
      <w:r w:rsidRPr="000543E8">
        <w:rPr>
          <w:sz w:val="20"/>
          <w:szCs w:val="20"/>
        </w:rPr>
        <w:t>That outlines strategies for managing long-term financial solvency and operational models of rural hospitals in the State</w:t>
      </w:r>
    </w:p>
    <w:p w14:paraId="1093F90B" w14:textId="77777777" w:rsidR="00E05B40" w:rsidRPr="000543E8" w:rsidRDefault="00E05B40" w:rsidP="00E05B40">
      <w:pPr>
        <w:pStyle w:val="ListParagraph"/>
        <w:numPr>
          <w:ilvl w:val="0"/>
          <w:numId w:val="7"/>
        </w:numPr>
        <w:spacing w:after="0"/>
        <w:rPr>
          <w:sz w:val="20"/>
          <w:szCs w:val="20"/>
        </w:rPr>
      </w:pPr>
      <w:r w:rsidRPr="000543E8">
        <w:rPr>
          <w:sz w:val="20"/>
          <w:szCs w:val="20"/>
        </w:rPr>
        <w:t>That identifies specific causes driving the accelerating rate of stand-alone rural hospitals becoming at risk of closure, conversion, or service reduction</w:t>
      </w:r>
    </w:p>
    <w:p w14:paraId="17C5D92E" w14:textId="77777777" w:rsidR="00E05B40" w:rsidRDefault="00E05B40" w:rsidP="00E05B40">
      <w:pPr>
        <w:spacing w:after="0"/>
        <w:ind w:left="720"/>
        <w:rPr>
          <w:sz w:val="20"/>
          <w:szCs w:val="20"/>
        </w:rPr>
      </w:pPr>
    </w:p>
    <w:p w14:paraId="1C297B2A" w14:textId="77777777" w:rsidR="00E05B40" w:rsidRPr="00AE2386" w:rsidRDefault="00E05B40" w:rsidP="00E05B40">
      <w:pPr>
        <w:spacing w:after="0"/>
        <w:ind w:left="720"/>
        <w:rPr>
          <w:sz w:val="20"/>
          <w:szCs w:val="20"/>
        </w:rPr>
      </w:pPr>
      <w:r w:rsidRPr="00AE2386">
        <w:rPr>
          <w:sz w:val="20"/>
          <w:szCs w:val="20"/>
        </w:rPr>
        <w:t>Amounts allotted to a State can be used for three or more of the following health-related activities:</w:t>
      </w:r>
    </w:p>
    <w:p w14:paraId="7E66B3FD" w14:textId="77777777" w:rsidR="00E05B40" w:rsidRPr="00AE2386" w:rsidRDefault="00E05B40" w:rsidP="00E05B40">
      <w:pPr>
        <w:spacing w:after="0"/>
        <w:ind w:left="720"/>
        <w:rPr>
          <w:sz w:val="20"/>
          <w:szCs w:val="20"/>
        </w:rPr>
      </w:pPr>
    </w:p>
    <w:p w14:paraId="4513DC2C" w14:textId="77777777" w:rsidR="00E05B40" w:rsidRPr="00AE2386" w:rsidRDefault="00E05B40" w:rsidP="00E05B40">
      <w:pPr>
        <w:pStyle w:val="ListParagraph"/>
        <w:numPr>
          <w:ilvl w:val="0"/>
          <w:numId w:val="8"/>
        </w:numPr>
        <w:spacing w:after="0"/>
        <w:rPr>
          <w:sz w:val="20"/>
          <w:szCs w:val="20"/>
        </w:rPr>
      </w:pPr>
      <w:r w:rsidRPr="00AE2386">
        <w:rPr>
          <w:sz w:val="20"/>
          <w:szCs w:val="20"/>
        </w:rPr>
        <w:t>Promoting evidence-based, measurable interventions to improve prevention and chronic disease management</w:t>
      </w:r>
    </w:p>
    <w:p w14:paraId="25F24B65" w14:textId="77777777" w:rsidR="00E05B40" w:rsidRPr="00AE2386" w:rsidRDefault="00E05B40" w:rsidP="00E05B40">
      <w:pPr>
        <w:pStyle w:val="ListParagraph"/>
        <w:numPr>
          <w:ilvl w:val="0"/>
          <w:numId w:val="8"/>
        </w:numPr>
        <w:spacing w:after="0"/>
        <w:rPr>
          <w:sz w:val="20"/>
          <w:szCs w:val="20"/>
        </w:rPr>
      </w:pPr>
      <w:r w:rsidRPr="00AE2386">
        <w:rPr>
          <w:sz w:val="20"/>
          <w:szCs w:val="20"/>
        </w:rPr>
        <w:t>Providing payments to health care providers for the provision of health care items or services, as specified by CMS</w:t>
      </w:r>
    </w:p>
    <w:p w14:paraId="5B431923" w14:textId="77777777" w:rsidR="00E05B40" w:rsidRPr="00AE2386" w:rsidRDefault="00E05B40" w:rsidP="00E05B40">
      <w:pPr>
        <w:pStyle w:val="ListParagraph"/>
        <w:numPr>
          <w:ilvl w:val="0"/>
          <w:numId w:val="8"/>
        </w:numPr>
        <w:spacing w:after="0"/>
        <w:rPr>
          <w:sz w:val="20"/>
          <w:szCs w:val="20"/>
        </w:rPr>
      </w:pPr>
      <w:r w:rsidRPr="00AE2386">
        <w:rPr>
          <w:sz w:val="20"/>
          <w:szCs w:val="20"/>
        </w:rPr>
        <w:t>Promoting consumer-facing, technology-driven solutions for the prevention and management of chronic diseases</w:t>
      </w:r>
    </w:p>
    <w:p w14:paraId="18C440A8" w14:textId="77777777" w:rsidR="00E05B40" w:rsidRDefault="00E05B40" w:rsidP="00E05B40">
      <w:pPr>
        <w:pStyle w:val="ListParagraph"/>
        <w:spacing w:after="0"/>
        <w:rPr>
          <w:sz w:val="20"/>
          <w:szCs w:val="20"/>
        </w:rPr>
      </w:pPr>
    </w:p>
    <w:p w14:paraId="2835162D" w14:textId="12CBDF48" w:rsidR="00FD5EC4" w:rsidRDefault="000D72E0" w:rsidP="00E05B40">
      <w:pPr>
        <w:pStyle w:val="ListParagraph"/>
        <w:spacing w:after="0"/>
        <w:rPr>
          <w:sz w:val="20"/>
          <w:szCs w:val="20"/>
        </w:rPr>
      </w:pPr>
      <w:r>
        <w:rPr>
          <w:sz w:val="20"/>
          <w:szCs w:val="20"/>
        </w:rPr>
        <w:t xml:space="preserve">This RFI </w:t>
      </w:r>
      <w:r w:rsidR="00686611">
        <w:rPr>
          <w:sz w:val="20"/>
          <w:szCs w:val="20"/>
        </w:rPr>
        <w:t xml:space="preserve">invites submission of ideas for </w:t>
      </w:r>
      <w:r w:rsidR="00FD5EC4">
        <w:rPr>
          <w:sz w:val="20"/>
          <w:szCs w:val="20"/>
        </w:rPr>
        <w:t xml:space="preserve">specific projects and initiatives that align with the grant funding priorities and will support a competitive state grant application. </w:t>
      </w:r>
    </w:p>
    <w:p w14:paraId="22B7027D" w14:textId="77777777" w:rsidR="00335904" w:rsidRDefault="00335904" w:rsidP="00E05B40">
      <w:pPr>
        <w:pStyle w:val="ListParagraph"/>
        <w:spacing w:after="0"/>
        <w:rPr>
          <w:sz w:val="20"/>
          <w:szCs w:val="20"/>
        </w:rPr>
      </w:pPr>
    </w:p>
    <w:p w14:paraId="2AE39C08" w14:textId="058BDCBD" w:rsidR="005F3BE0" w:rsidRDefault="00335904" w:rsidP="00E05B40">
      <w:pPr>
        <w:pStyle w:val="ListParagraph"/>
        <w:spacing w:after="0"/>
        <w:rPr>
          <w:sz w:val="20"/>
          <w:szCs w:val="20"/>
        </w:rPr>
      </w:pPr>
      <w:r>
        <w:rPr>
          <w:sz w:val="20"/>
          <w:szCs w:val="20"/>
        </w:rPr>
        <w:t xml:space="preserve">The target populations to be served are </w:t>
      </w:r>
      <w:r w:rsidR="005D013C">
        <w:rPr>
          <w:sz w:val="20"/>
          <w:szCs w:val="20"/>
        </w:rPr>
        <w:t>individuals accessing healthcare services in New Mexico, including especially those residing in rural and frontier communities that experience limited access</w:t>
      </w:r>
      <w:r w:rsidR="00DD143B">
        <w:rPr>
          <w:sz w:val="20"/>
          <w:szCs w:val="20"/>
        </w:rPr>
        <w:t xml:space="preserve"> to healthcare services</w:t>
      </w:r>
      <w:r w:rsidR="005D013C">
        <w:rPr>
          <w:sz w:val="20"/>
          <w:szCs w:val="20"/>
        </w:rPr>
        <w:t xml:space="preserve">, workforce shortages, and </w:t>
      </w:r>
      <w:r w:rsidR="00591297">
        <w:rPr>
          <w:sz w:val="20"/>
          <w:szCs w:val="20"/>
        </w:rPr>
        <w:t>are working to modernize their</w:t>
      </w:r>
      <w:r w:rsidR="003A2B51">
        <w:rPr>
          <w:sz w:val="20"/>
          <w:szCs w:val="20"/>
        </w:rPr>
        <w:t xml:space="preserve"> healthcare and technology</w:t>
      </w:r>
      <w:r w:rsidR="00591297">
        <w:rPr>
          <w:sz w:val="20"/>
          <w:szCs w:val="20"/>
        </w:rPr>
        <w:t xml:space="preserve"> infrastructure.</w:t>
      </w:r>
      <w:r w:rsidR="00D719BC">
        <w:rPr>
          <w:sz w:val="20"/>
          <w:szCs w:val="20"/>
        </w:rPr>
        <w:t xml:space="preserve"> </w:t>
      </w:r>
      <w:r w:rsidR="00FA2446">
        <w:rPr>
          <w:sz w:val="20"/>
          <w:szCs w:val="20"/>
        </w:rPr>
        <w:t>Submitted</w:t>
      </w:r>
      <w:r w:rsidR="00D719BC">
        <w:rPr>
          <w:sz w:val="20"/>
          <w:szCs w:val="20"/>
        </w:rPr>
        <w:t xml:space="preserve"> initiatives should explicitly address </w:t>
      </w:r>
      <w:r w:rsidR="009436E9">
        <w:rPr>
          <w:sz w:val="20"/>
          <w:szCs w:val="20"/>
        </w:rPr>
        <w:t xml:space="preserve">structural </w:t>
      </w:r>
      <w:r w:rsidR="00D719BC">
        <w:rPr>
          <w:sz w:val="20"/>
          <w:szCs w:val="20"/>
        </w:rPr>
        <w:t xml:space="preserve">barriers and demonstrate how the initiative will improve access to care or quality of care for </w:t>
      </w:r>
      <w:r w:rsidR="003A2B51">
        <w:rPr>
          <w:sz w:val="20"/>
          <w:szCs w:val="20"/>
        </w:rPr>
        <w:t xml:space="preserve">rural and frontier </w:t>
      </w:r>
      <w:r w:rsidR="00D719BC">
        <w:rPr>
          <w:sz w:val="20"/>
          <w:szCs w:val="20"/>
        </w:rPr>
        <w:t xml:space="preserve">communities. </w:t>
      </w:r>
    </w:p>
    <w:p w14:paraId="1AD443C6" w14:textId="77777777" w:rsidR="005F3BE0" w:rsidRDefault="005F3BE0" w:rsidP="00E05B40">
      <w:pPr>
        <w:pStyle w:val="ListParagraph"/>
        <w:spacing w:after="0"/>
        <w:rPr>
          <w:sz w:val="20"/>
          <w:szCs w:val="20"/>
        </w:rPr>
      </w:pPr>
    </w:p>
    <w:p w14:paraId="7CA817AB" w14:textId="3E679239" w:rsidR="00335904" w:rsidRDefault="00D719BC" w:rsidP="00E05B40">
      <w:pPr>
        <w:pStyle w:val="ListParagraph"/>
        <w:spacing w:after="0"/>
        <w:rPr>
          <w:sz w:val="20"/>
          <w:szCs w:val="20"/>
        </w:rPr>
      </w:pPr>
      <w:r>
        <w:rPr>
          <w:sz w:val="20"/>
          <w:szCs w:val="20"/>
        </w:rPr>
        <w:t xml:space="preserve">Submissions that identify </w:t>
      </w:r>
      <w:r w:rsidR="005F3BE0">
        <w:rPr>
          <w:sz w:val="20"/>
          <w:szCs w:val="20"/>
        </w:rPr>
        <w:t xml:space="preserve">clear, </w:t>
      </w:r>
      <w:r>
        <w:rPr>
          <w:sz w:val="20"/>
          <w:szCs w:val="20"/>
        </w:rPr>
        <w:t xml:space="preserve">measurable opportunities for improvement and propose scalable, evidence-based solutions </w:t>
      </w:r>
      <w:r w:rsidR="005F3BE0">
        <w:rPr>
          <w:sz w:val="20"/>
          <w:szCs w:val="20"/>
        </w:rPr>
        <w:t xml:space="preserve">that can be scaled statewide will be prioritized. </w:t>
      </w:r>
    </w:p>
    <w:p w14:paraId="5B56D445" w14:textId="77777777" w:rsidR="003A2B51" w:rsidRDefault="003A2B51" w:rsidP="003A2B51">
      <w:pPr>
        <w:spacing w:after="0"/>
        <w:rPr>
          <w:sz w:val="20"/>
          <w:szCs w:val="20"/>
        </w:rPr>
      </w:pPr>
    </w:p>
    <w:p w14:paraId="3930209D" w14:textId="2ED93B5F" w:rsidR="003A2B51" w:rsidRDefault="003A2B51" w:rsidP="003A2B51">
      <w:pPr>
        <w:pStyle w:val="ListParagraph"/>
        <w:numPr>
          <w:ilvl w:val="0"/>
          <w:numId w:val="2"/>
        </w:numPr>
        <w:spacing w:after="0"/>
        <w:rPr>
          <w:sz w:val="20"/>
          <w:szCs w:val="20"/>
        </w:rPr>
      </w:pPr>
      <w:r>
        <w:rPr>
          <w:sz w:val="20"/>
          <w:szCs w:val="20"/>
        </w:rPr>
        <w:t>RFI Manage</w:t>
      </w:r>
      <w:r w:rsidR="005C0C01">
        <w:rPr>
          <w:sz w:val="20"/>
          <w:szCs w:val="20"/>
        </w:rPr>
        <w:t>r</w:t>
      </w:r>
      <w:r>
        <w:rPr>
          <w:sz w:val="20"/>
          <w:szCs w:val="20"/>
        </w:rPr>
        <w:t xml:space="preserve"> Information</w:t>
      </w:r>
    </w:p>
    <w:p w14:paraId="12E553A4" w14:textId="77777777" w:rsidR="003A2B51" w:rsidRDefault="003A2B51" w:rsidP="003A2B51">
      <w:pPr>
        <w:spacing w:after="0"/>
        <w:rPr>
          <w:sz w:val="20"/>
          <w:szCs w:val="20"/>
        </w:rPr>
      </w:pPr>
    </w:p>
    <w:p w14:paraId="5E255E60" w14:textId="26CE6CDB" w:rsidR="003A2B51" w:rsidRDefault="00F81A7F" w:rsidP="003A2B51">
      <w:pPr>
        <w:spacing w:after="0"/>
        <w:ind w:left="720"/>
        <w:rPr>
          <w:sz w:val="20"/>
          <w:szCs w:val="20"/>
        </w:rPr>
      </w:pPr>
      <w:r>
        <w:rPr>
          <w:sz w:val="20"/>
          <w:szCs w:val="20"/>
        </w:rPr>
        <w:t>The RFI Manager, or designee, is responsible for managing/administering the RFI process, and is listed below as follows:</w:t>
      </w:r>
    </w:p>
    <w:p w14:paraId="334E8C74" w14:textId="77777777" w:rsidR="00F81A7F" w:rsidRDefault="00F81A7F" w:rsidP="003A2B51">
      <w:pPr>
        <w:spacing w:after="0"/>
        <w:ind w:left="720"/>
        <w:rPr>
          <w:sz w:val="20"/>
          <w:szCs w:val="20"/>
        </w:rPr>
      </w:pPr>
    </w:p>
    <w:p w14:paraId="2985260D" w14:textId="6B233407" w:rsidR="00F81A7F" w:rsidRDefault="00110C3A" w:rsidP="003A2B51">
      <w:pPr>
        <w:spacing w:after="0"/>
        <w:ind w:left="720"/>
        <w:rPr>
          <w:sz w:val="20"/>
          <w:szCs w:val="20"/>
        </w:rPr>
      </w:pPr>
      <w:r>
        <w:rPr>
          <w:sz w:val="20"/>
          <w:szCs w:val="20"/>
        </w:rPr>
        <w:t>Wenona Padgett</w:t>
      </w:r>
    </w:p>
    <w:p w14:paraId="03F32907" w14:textId="28A43B8F" w:rsidR="001F46CB" w:rsidRDefault="001F46CB" w:rsidP="003A2B51">
      <w:pPr>
        <w:spacing w:after="0"/>
        <w:ind w:left="720"/>
        <w:rPr>
          <w:sz w:val="20"/>
          <w:szCs w:val="20"/>
        </w:rPr>
      </w:pPr>
      <w:r>
        <w:rPr>
          <w:sz w:val="20"/>
          <w:szCs w:val="20"/>
        </w:rPr>
        <w:t>Health Care Authority</w:t>
      </w:r>
    </w:p>
    <w:p w14:paraId="37E15521" w14:textId="7F10E434" w:rsidR="001F46CB" w:rsidRDefault="001F46CB" w:rsidP="003A2B51">
      <w:pPr>
        <w:spacing w:after="0"/>
        <w:ind w:left="720"/>
        <w:rPr>
          <w:sz w:val="20"/>
          <w:szCs w:val="20"/>
        </w:rPr>
      </w:pPr>
      <w:r>
        <w:rPr>
          <w:sz w:val="20"/>
          <w:szCs w:val="20"/>
        </w:rPr>
        <w:t>Medical Assistance Division</w:t>
      </w:r>
    </w:p>
    <w:p w14:paraId="5F93B642" w14:textId="7E88A1C1" w:rsidR="001F46CB" w:rsidRDefault="001F46CB" w:rsidP="003A2B51">
      <w:pPr>
        <w:spacing w:after="0"/>
        <w:ind w:left="720"/>
        <w:rPr>
          <w:sz w:val="20"/>
          <w:szCs w:val="20"/>
        </w:rPr>
      </w:pPr>
      <w:r>
        <w:rPr>
          <w:sz w:val="20"/>
          <w:szCs w:val="20"/>
        </w:rPr>
        <w:t xml:space="preserve">Email: </w:t>
      </w:r>
      <w:hyperlink r:id="rId10" w:history="1">
        <w:r w:rsidR="00110C3A" w:rsidRPr="004D7B4D">
          <w:rPr>
            <w:rStyle w:val="Hyperlink"/>
            <w:sz w:val="20"/>
            <w:szCs w:val="20"/>
          </w:rPr>
          <w:t>Wenona.padgett@hca.nm.gov</w:t>
        </w:r>
      </w:hyperlink>
      <w:r w:rsidR="00110C3A">
        <w:rPr>
          <w:sz w:val="20"/>
          <w:szCs w:val="20"/>
        </w:rPr>
        <w:t xml:space="preserve"> </w:t>
      </w:r>
    </w:p>
    <w:p w14:paraId="7A08D661" w14:textId="77777777" w:rsidR="001F46CB" w:rsidRDefault="001F46CB" w:rsidP="003A2B51">
      <w:pPr>
        <w:spacing w:after="0"/>
        <w:ind w:left="720"/>
        <w:rPr>
          <w:sz w:val="20"/>
          <w:szCs w:val="20"/>
        </w:rPr>
      </w:pPr>
    </w:p>
    <w:p w14:paraId="12C0B77E" w14:textId="039DD1BB" w:rsidR="001F46CB" w:rsidRPr="003A2B51" w:rsidRDefault="002114D3" w:rsidP="00C51EF3">
      <w:pPr>
        <w:spacing w:after="0"/>
        <w:ind w:left="720"/>
        <w:rPr>
          <w:sz w:val="20"/>
          <w:szCs w:val="20"/>
        </w:rPr>
      </w:pPr>
      <w:r w:rsidRPr="002114D3">
        <w:rPr>
          <w:sz w:val="20"/>
          <w:szCs w:val="20"/>
        </w:rPr>
        <w:t>Any submissions, inquiries, or requests regarding this RFI shall be submitted in writing via email to</w:t>
      </w:r>
      <w:r w:rsidR="00C51EF3">
        <w:rPr>
          <w:sz w:val="20"/>
          <w:szCs w:val="20"/>
        </w:rPr>
        <w:t xml:space="preserve"> </w:t>
      </w:r>
      <w:r w:rsidRPr="002114D3">
        <w:rPr>
          <w:sz w:val="20"/>
          <w:szCs w:val="20"/>
        </w:rPr>
        <w:t xml:space="preserve">the RFI Manager. The emails shall have a subject line that reads: </w:t>
      </w:r>
      <w:r w:rsidR="0089265B">
        <w:rPr>
          <w:sz w:val="20"/>
          <w:szCs w:val="20"/>
        </w:rPr>
        <w:t>“</w:t>
      </w:r>
      <w:r w:rsidRPr="002114D3">
        <w:rPr>
          <w:sz w:val="20"/>
          <w:szCs w:val="20"/>
        </w:rPr>
        <w:t xml:space="preserve">RFI: </w:t>
      </w:r>
      <w:r>
        <w:rPr>
          <w:sz w:val="20"/>
          <w:szCs w:val="20"/>
        </w:rPr>
        <w:t>Rural Health Transformatio</w:t>
      </w:r>
      <w:r w:rsidR="00C51EF3">
        <w:rPr>
          <w:sz w:val="20"/>
          <w:szCs w:val="20"/>
        </w:rPr>
        <w:t>n</w:t>
      </w:r>
      <w:r w:rsidR="0089265B">
        <w:rPr>
          <w:sz w:val="20"/>
          <w:szCs w:val="20"/>
        </w:rPr>
        <w:t>”</w:t>
      </w:r>
      <w:r w:rsidR="00C51EF3">
        <w:rPr>
          <w:sz w:val="20"/>
          <w:szCs w:val="20"/>
        </w:rPr>
        <w:t xml:space="preserve"> </w:t>
      </w:r>
      <w:r w:rsidRPr="002114D3">
        <w:rPr>
          <w:sz w:val="20"/>
          <w:szCs w:val="20"/>
        </w:rPr>
        <w:t>and shall be</w:t>
      </w:r>
      <w:r>
        <w:rPr>
          <w:sz w:val="20"/>
          <w:szCs w:val="20"/>
        </w:rPr>
        <w:t xml:space="preserve"> </w:t>
      </w:r>
      <w:r w:rsidRPr="002114D3">
        <w:rPr>
          <w:sz w:val="20"/>
          <w:szCs w:val="20"/>
        </w:rPr>
        <w:t xml:space="preserve">sent </w:t>
      </w:r>
      <w:r>
        <w:rPr>
          <w:sz w:val="20"/>
          <w:szCs w:val="20"/>
        </w:rPr>
        <w:t>to the email address above</w:t>
      </w:r>
      <w:r w:rsidRPr="002114D3">
        <w:rPr>
          <w:sz w:val="20"/>
          <w:szCs w:val="20"/>
        </w:rPr>
        <w:t>. The submitting organization may contact</w:t>
      </w:r>
      <w:r w:rsidR="00C51EF3">
        <w:rPr>
          <w:sz w:val="20"/>
          <w:szCs w:val="20"/>
        </w:rPr>
        <w:t xml:space="preserve"> </w:t>
      </w:r>
      <w:r w:rsidRPr="002114D3">
        <w:rPr>
          <w:sz w:val="20"/>
          <w:szCs w:val="20"/>
        </w:rPr>
        <w:t>ONLY the RFI Manager, or designee, for inquiries or requests regarding this RFI. Other HCA</w:t>
      </w:r>
      <w:r w:rsidR="00C51EF3">
        <w:rPr>
          <w:sz w:val="20"/>
          <w:szCs w:val="20"/>
        </w:rPr>
        <w:t xml:space="preserve"> </w:t>
      </w:r>
      <w:r w:rsidRPr="002114D3">
        <w:rPr>
          <w:sz w:val="20"/>
          <w:szCs w:val="20"/>
        </w:rPr>
        <w:t>employees do not have the authority to respond on behalf of the RFI Manager.</w:t>
      </w:r>
    </w:p>
    <w:p w14:paraId="5072C7D4" w14:textId="451DC31D" w:rsidR="00E05B40" w:rsidRDefault="00E05B40" w:rsidP="005C0C01">
      <w:pPr>
        <w:spacing w:after="0"/>
        <w:rPr>
          <w:sz w:val="20"/>
          <w:szCs w:val="20"/>
        </w:rPr>
      </w:pPr>
    </w:p>
    <w:p w14:paraId="413B4694" w14:textId="59279BF6" w:rsidR="005C0C01" w:rsidRDefault="005C0C01" w:rsidP="005C0C01">
      <w:pPr>
        <w:pStyle w:val="ListParagraph"/>
        <w:numPr>
          <w:ilvl w:val="0"/>
          <w:numId w:val="1"/>
        </w:numPr>
        <w:spacing w:after="0"/>
        <w:rPr>
          <w:sz w:val="20"/>
          <w:szCs w:val="20"/>
        </w:rPr>
      </w:pPr>
      <w:r>
        <w:rPr>
          <w:sz w:val="20"/>
          <w:szCs w:val="20"/>
        </w:rPr>
        <w:t>Definition of Terminology</w:t>
      </w:r>
    </w:p>
    <w:p w14:paraId="3FAAD2DE" w14:textId="77777777" w:rsidR="005C0C01" w:rsidRDefault="005C0C01" w:rsidP="005C0C01">
      <w:pPr>
        <w:spacing w:after="0"/>
        <w:rPr>
          <w:sz w:val="20"/>
          <w:szCs w:val="20"/>
        </w:rPr>
      </w:pPr>
    </w:p>
    <w:p w14:paraId="1CABAE6C" w14:textId="66AB4B6C" w:rsidR="005C0C01" w:rsidRDefault="005C0C01" w:rsidP="005C0C01">
      <w:pPr>
        <w:spacing w:after="0"/>
        <w:ind w:left="720"/>
        <w:rPr>
          <w:sz w:val="20"/>
          <w:szCs w:val="20"/>
        </w:rPr>
      </w:pPr>
      <w:r>
        <w:rPr>
          <w:sz w:val="20"/>
          <w:szCs w:val="20"/>
        </w:rPr>
        <w:t>This section contains definitions of terms used throughout this RFI document, including appropriate abbreviations:</w:t>
      </w:r>
    </w:p>
    <w:p w14:paraId="4C644BD9" w14:textId="77777777" w:rsidR="005C0C01" w:rsidRDefault="005C0C01" w:rsidP="005C0C01">
      <w:pPr>
        <w:spacing w:after="0"/>
        <w:ind w:left="720"/>
        <w:rPr>
          <w:sz w:val="20"/>
          <w:szCs w:val="20"/>
        </w:rPr>
      </w:pPr>
    </w:p>
    <w:p w14:paraId="7311FE5D" w14:textId="77777777" w:rsidR="003D1000" w:rsidRPr="003D1000" w:rsidRDefault="003D1000" w:rsidP="003D1000">
      <w:pPr>
        <w:spacing w:after="0"/>
        <w:ind w:left="720"/>
        <w:rPr>
          <w:sz w:val="20"/>
          <w:szCs w:val="20"/>
        </w:rPr>
      </w:pPr>
      <w:r w:rsidRPr="003D1000">
        <w:rPr>
          <w:sz w:val="20"/>
          <w:szCs w:val="20"/>
        </w:rPr>
        <w:t>“CMS” means the Centers for Medicare &amp; Medicaid Services, the federal agency responsible for administration of Medicaid, Medicare, and related health programs.</w:t>
      </w:r>
    </w:p>
    <w:p w14:paraId="145827D4" w14:textId="77777777" w:rsidR="003D1000" w:rsidRDefault="003D1000" w:rsidP="003D1000">
      <w:pPr>
        <w:spacing w:after="0"/>
        <w:ind w:left="720"/>
        <w:rPr>
          <w:sz w:val="20"/>
          <w:szCs w:val="20"/>
        </w:rPr>
      </w:pPr>
    </w:p>
    <w:p w14:paraId="57D946A8" w14:textId="5F5B36CA" w:rsidR="00F75147" w:rsidRPr="003D1000" w:rsidRDefault="00F75147" w:rsidP="003D1000">
      <w:pPr>
        <w:spacing w:after="0"/>
        <w:ind w:left="720"/>
        <w:rPr>
          <w:sz w:val="20"/>
          <w:szCs w:val="20"/>
        </w:rPr>
      </w:pPr>
      <w:r>
        <w:rPr>
          <w:sz w:val="20"/>
          <w:szCs w:val="20"/>
        </w:rPr>
        <w:t xml:space="preserve">“EMS” means Emergency Medical Services. </w:t>
      </w:r>
    </w:p>
    <w:p w14:paraId="520ACCEA" w14:textId="77777777" w:rsidR="003D1000" w:rsidRPr="003D1000" w:rsidRDefault="003D1000" w:rsidP="00F75147">
      <w:pPr>
        <w:spacing w:after="0"/>
        <w:rPr>
          <w:sz w:val="20"/>
          <w:szCs w:val="20"/>
        </w:rPr>
      </w:pPr>
    </w:p>
    <w:p w14:paraId="036405A7" w14:textId="4D45D2F7" w:rsidR="003D1000" w:rsidRPr="003D1000" w:rsidRDefault="003D1000" w:rsidP="003D1000">
      <w:pPr>
        <w:spacing w:after="0"/>
        <w:ind w:left="720"/>
        <w:rPr>
          <w:sz w:val="20"/>
          <w:szCs w:val="20"/>
        </w:rPr>
      </w:pPr>
      <w:r w:rsidRPr="003D1000">
        <w:rPr>
          <w:sz w:val="20"/>
          <w:szCs w:val="20"/>
        </w:rPr>
        <w:t>“HCA” means the New Mexico Health Care Authority, the single state agency responsible for the Medicaid program in New Mexico.</w:t>
      </w:r>
    </w:p>
    <w:p w14:paraId="2F398693" w14:textId="77777777" w:rsidR="003D1000" w:rsidRPr="003D1000" w:rsidRDefault="003D1000" w:rsidP="003D1000">
      <w:pPr>
        <w:spacing w:after="0"/>
        <w:ind w:left="720"/>
        <w:rPr>
          <w:sz w:val="20"/>
          <w:szCs w:val="20"/>
        </w:rPr>
      </w:pPr>
    </w:p>
    <w:p w14:paraId="1FB56CF5" w14:textId="4CEC8400" w:rsidR="00315935" w:rsidRDefault="003D1000" w:rsidP="003D1000">
      <w:pPr>
        <w:spacing w:after="0"/>
        <w:ind w:left="720"/>
        <w:rPr>
          <w:sz w:val="20"/>
          <w:szCs w:val="20"/>
        </w:rPr>
      </w:pPr>
      <w:r w:rsidRPr="003D1000">
        <w:rPr>
          <w:sz w:val="20"/>
          <w:szCs w:val="20"/>
        </w:rPr>
        <w:t>“NOFO” means Notice of Funding Opportunity, the official federal grant solicitation that sets forth program terms, eligibility, and evaluation criteria.</w:t>
      </w:r>
    </w:p>
    <w:p w14:paraId="77F0C1FB" w14:textId="77777777" w:rsidR="00F75147" w:rsidRDefault="00F75147" w:rsidP="003D1000">
      <w:pPr>
        <w:spacing w:after="0"/>
        <w:ind w:left="720"/>
        <w:rPr>
          <w:sz w:val="20"/>
          <w:szCs w:val="20"/>
        </w:rPr>
      </w:pPr>
    </w:p>
    <w:p w14:paraId="2539830A" w14:textId="77777777" w:rsidR="00F75147" w:rsidRPr="003D1000" w:rsidRDefault="00F75147" w:rsidP="00F75147">
      <w:pPr>
        <w:spacing w:after="0"/>
        <w:ind w:left="720"/>
        <w:rPr>
          <w:sz w:val="20"/>
          <w:szCs w:val="20"/>
        </w:rPr>
      </w:pPr>
      <w:r w:rsidRPr="003D1000">
        <w:rPr>
          <w:sz w:val="20"/>
          <w:szCs w:val="20"/>
        </w:rPr>
        <w:t>“RFI” means Request for Information</w:t>
      </w:r>
      <w:r>
        <w:rPr>
          <w:sz w:val="20"/>
          <w:szCs w:val="20"/>
        </w:rPr>
        <w:t>.</w:t>
      </w:r>
    </w:p>
    <w:p w14:paraId="2A64E23D" w14:textId="77777777" w:rsidR="00F75147" w:rsidRPr="003D1000" w:rsidRDefault="00F75147" w:rsidP="00F75147">
      <w:pPr>
        <w:spacing w:after="0"/>
        <w:ind w:left="720"/>
        <w:rPr>
          <w:sz w:val="20"/>
          <w:szCs w:val="20"/>
        </w:rPr>
      </w:pPr>
    </w:p>
    <w:p w14:paraId="695CB931" w14:textId="038E9E96" w:rsidR="00F75147" w:rsidRDefault="00F75147" w:rsidP="00F75147">
      <w:pPr>
        <w:spacing w:after="0"/>
        <w:ind w:left="720"/>
        <w:rPr>
          <w:sz w:val="20"/>
          <w:szCs w:val="20"/>
        </w:rPr>
      </w:pPr>
      <w:r w:rsidRPr="003D1000">
        <w:rPr>
          <w:sz w:val="20"/>
          <w:szCs w:val="20"/>
        </w:rPr>
        <w:t>“RHTP” means the Rural Health Transformation Program, a federal initiative authorized at 42 U.S.C. § 1397ee(h) to support rural health system modernization.</w:t>
      </w:r>
    </w:p>
    <w:p w14:paraId="3DCDAF31" w14:textId="77777777" w:rsidR="00EA6B2C" w:rsidRDefault="00EA6B2C" w:rsidP="00315935">
      <w:pPr>
        <w:spacing w:after="0"/>
        <w:rPr>
          <w:sz w:val="20"/>
          <w:szCs w:val="20"/>
        </w:rPr>
      </w:pPr>
    </w:p>
    <w:p w14:paraId="30C39092" w14:textId="30596D38" w:rsidR="005C0C01" w:rsidRDefault="00F46B6C" w:rsidP="005C0C01">
      <w:pPr>
        <w:pStyle w:val="ListParagraph"/>
        <w:numPr>
          <w:ilvl w:val="0"/>
          <w:numId w:val="1"/>
        </w:numPr>
        <w:spacing w:after="0"/>
        <w:rPr>
          <w:sz w:val="20"/>
          <w:szCs w:val="20"/>
        </w:rPr>
      </w:pPr>
      <w:r>
        <w:rPr>
          <w:sz w:val="20"/>
          <w:szCs w:val="20"/>
        </w:rPr>
        <w:t>Requirements</w:t>
      </w:r>
    </w:p>
    <w:p w14:paraId="19EFD928" w14:textId="77777777" w:rsidR="005C0C01" w:rsidRDefault="005C0C01" w:rsidP="005C0C01">
      <w:pPr>
        <w:spacing w:after="0"/>
        <w:rPr>
          <w:sz w:val="20"/>
          <w:szCs w:val="20"/>
        </w:rPr>
      </w:pPr>
    </w:p>
    <w:p w14:paraId="11C1017C" w14:textId="77777777" w:rsidR="0095244E" w:rsidRDefault="0095244E" w:rsidP="00BF551D">
      <w:pPr>
        <w:pStyle w:val="ListParagraph"/>
        <w:numPr>
          <w:ilvl w:val="0"/>
          <w:numId w:val="9"/>
        </w:numPr>
        <w:spacing w:after="0"/>
        <w:rPr>
          <w:sz w:val="20"/>
          <w:szCs w:val="20"/>
        </w:rPr>
      </w:pPr>
      <w:r>
        <w:rPr>
          <w:sz w:val="20"/>
          <w:szCs w:val="20"/>
        </w:rPr>
        <w:t>General Requirements</w:t>
      </w:r>
    </w:p>
    <w:p w14:paraId="4A9F72E2" w14:textId="64AF312E" w:rsidR="0095244E" w:rsidRDefault="00254511" w:rsidP="00254511">
      <w:pPr>
        <w:pStyle w:val="ListParagraph"/>
        <w:numPr>
          <w:ilvl w:val="1"/>
          <w:numId w:val="9"/>
        </w:numPr>
        <w:spacing w:after="0"/>
        <w:rPr>
          <w:sz w:val="20"/>
          <w:szCs w:val="20"/>
        </w:rPr>
      </w:pPr>
      <w:r>
        <w:rPr>
          <w:sz w:val="20"/>
          <w:szCs w:val="20"/>
        </w:rPr>
        <w:t>This RFI in no manner obligates the HCA, the State of New Mexico, or any of its agencies to issue a Request for Proposals (RFP) or to fund or implement any initiatives submitted.</w:t>
      </w:r>
    </w:p>
    <w:p w14:paraId="48C2BD8A" w14:textId="1F951E7A" w:rsidR="00254511" w:rsidRDefault="00AA2CD6" w:rsidP="00254511">
      <w:pPr>
        <w:pStyle w:val="ListParagraph"/>
        <w:numPr>
          <w:ilvl w:val="1"/>
          <w:numId w:val="9"/>
        </w:numPr>
        <w:spacing w:after="0"/>
        <w:rPr>
          <w:sz w:val="20"/>
          <w:szCs w:val="20"/>
        </w:rPr>
      </w:pPr>
      <w:r>
        <w:rPr>
          <w:sz w:val="20"/>
          <w:szCs w:val="20"/>
        </w:rPr>
        <w:t>Respondents are solely responsible for any costs incurred in preparing a response.</w:t>
      </w:r>
    </w:p>
    <w:p w14:paraId="607F6DAA" w14:textId="7C24FCC3" w:rsidR="00254511" w:rsidRDefault="00C5343C" w:rsidP="00254511">
      <w:pPr>
        <w:pStyle w:val="ListParagraph"/>
        <w:numPr>
          <w:ilvl w:val="1"/>
          <w:numId w:val="9"/>
        </w:numPr>
        <w:spacing w:after="0"/>
        <w:rPr>
          <w:sz w:val="20"/>
          <w:szCs w:val="20"/>
        </w:rPr>
      </w:pPr>
      <w:r w:rsidRPr="00C5343C">
        <w:rPr>
          <w:sz w:val="20"/>
          <w:szCs w:val="20"/>
        </w:rPr>
        <w:t>All information, documentation, and any specific content or approaches included in this RFI will be analyzed, may appear in various reports, and may be used in the resulting solicitation. Therefore, do not submit any copyrighted, proprietary, or confidential information. The State of New Mexico cannot guarantee the confidentiality of the information submitted</w:t>
      </w:r>
    </w:p>
    <w:p w14:paraId="5E0E02C9" w14:textId="32ECABE0" w:rsidR="00254511" w:rsidRPr="005C0313" w:rsidRDefault="005C0313" w:rsidP="005C0313">
      <w:pPr>
        <w:pStyle w:val="ListParagraph"/>
        <w:numPr>
          <w:ilvl w:val="1"/>
          <w:numId w:val="9"/>
        </w:numPr>
        <w:spacing w:after="0"/>
        <w:rPr>
          <w:sz w:val="20"/>
          <w:szCs w:val="20"/>
        </w:rPr>
      </w:pPr>
      <w:r w:rsidRPr="005C0313">
        <w:rPr>
          <w:sz w:val="20"/>
          <w:szCs w:val="20"/>
        </w:rPr>
        <w:t>All materials submitted in response to this RFI become the property of the State of New Mexico and may be subject to public inspection under the New Mexico Inspection of Public Records Act (NMSA 1978, Chapter 14, Article 2).</w:t>
      </w:r>
    </w:p>
    <w:p w14:paraId="13F2BD9F" w14:textId="77777777" w:rsidR="00254511" w:rsidRDefault="00254511" w:rsidP="005C0313">
      <w:pPr>
        <w:pStyle w:val="ListParagraph"/>
        <w:spacing w:after="0"/>
        <w:ind w:left="1440"/>
        <w:rPr>
          <w:sz w:val="20"/>
          <w:szCs w:val="20"/>
        </w:rPr>
      </w:pPr>
    </w:p>
    <w:p w14:paraId="46DAD2C6" w14:textId="58D580F4" w:rsidR="005C0C01" w:rsidRDefault="00BF551D" w:rsidP="00BF551D">
      <w:pPr>
        <w:pStyle w:val="ListParagraph"/>
        <w:numPr>
          <w:ilvl w:val="0"/>
          <w:numId w:val="9"/>
        </w:numPr>
        <w:spacing w:after="0"/>
        <w:rPr>
          <w:sz w:val="20"/>
          <w:szCs w:val="20"/>
        </w:rPr>
      </w:pPr>
      <w:r>
        <w:rPr>
          <w:sz w:val="20"/>
          <w:szCs w:val="20"/>
        </w:rPr>
        <w:t>Rural Health Transformation Initiatives</w:t>
      </w:r>
    </w:p>
    <w:p w14:paraId="6B5F65A2" w14:textId="77777777" w:rsidR="00BF551D" w:rsidRDefault="00BF551D" w:rsidP="00BF551D">
      <w:pPr>
        <w:pStyle w:val="ListParagraph"/>
        <w:spacing w:after="0"/>
        <w:rPr>
          <w:sz w:val="20"/>
          <w:szCs w:val="20"/>
        </w:rPr>
      </w:pPr>
    </w:p>
    <w:p w14:paraId="004C3034" w14:textId="076B96FB" w:rsidR="003263BF" w:rsidRDefault="003263BF" w:rsidP="003263BF">
      <w:pPr>
        <w:pStyle w:val="ListParagraph"/>
        <w:spacing w:after="0"/>
        <w:rPr>
          <w:sz w:val="20"/>
          <w:szCs w:val="20"/>
        </w:rPr>
      </w:pPr>
      <w:r>
        <w:rPr>
          <w:sz w:val="20"/>
          <w:szCs w:val="20"/>
        </w:rPr>
        <w:t xml:space="preserve">This RFI invites submission of project concepts and initiatives that align with the grant funding priorities and will support a competitive state grant application. </w:t>
      </w:r>
      <w:r w:rsidR="0035369D" w:rsidRPr="0035369D">
        <w:rPr>
          <w:sz w:val="20"/>
          <w:szCs w:val="20"/>
        </w:rPr>
        <w:t xml:space="preserve">Each initiative should include anticipated costs, </w:t>
      </w:r>
      <w:r w:rsidR="0035369D">
        <w:rPr>
          <w:sz w:val="20"/>
          <w:szCs w:val="20"/>
        </w:rPr>
        <w:t>outcomes, and statewide scalability.</w:t>
      </w:r>
    </w:p>
    <w:p w14:paraId="64FD52BD" w14:textId="77777777" w:rsidR="007253A1" w:rsidRDefault="007253A1" w:rsidP="007253A1">
      <w:pPr>
        <w:spacing w:after="0"/>
        <w:ind w:left="720"/>
        <w:rPr>
          <w:sz w:val="20"/>
          <w:szCs w:val="20"/>
        </w:rPr>
      </w:pPr>
    </w:p>
    <w:p w14:paraId="16E95D32" w14:textId="77777777" w:rsidR="007253A1" w:rsidRDefault="00D06D88" w:rsidP="007253A1">
      <w:pPr>
        <w:spacing w:after="0"/>
        <w:ind w:left="720"/>
        <w:rPr>
          <w:sz w:val="20"/>
          <w:szCs w:val="20"/>
        </w:rPr>
      </w:pPr>
      <w:r w:rsidRPr="007253A1">
        <w:rPr>
          <w:sz w:val="20"/>
          <w:szCs w:val="20"/>
        </w:rPr>
        <w:t xml:space="preserve">Please note that CMS has identified technical scoring factors that prioritize initiatives that focus on: </w:t>
      </w:r>
    </w:p>
    <w:p w14:paraId="599C4FA3" w14:textId="6A576D22" w:rsidR="007253A1" w:rsidRDefault="007501CB" w:rsidP="0035369D">
      <w:pPr>
        <w:pStyle w:val="ListParagraph"/>
        <w:numPr>
          <w:ilvl w:val="0"/>
          <w:numId w:val="21"/>
        </w:numPr>
        <w:spacing w:after="0"/>
        <w:rPr>
          <w:sz w:val="20"/>
          <w:szCs w:val="20"/>
        </w:rPr>
      </w:pPr>
      <w:r>
        <w:rPr>
          <w:sz w:val="20"/>
          <w:szCs w:val="20"/>
        </w:rPr>
        <w:t>P</w:t>
      </w:r>
      <w:r w:rsidR="00D06D88" w:rsidRPr="007253A1">
        <w:rPr>
          <w:sz w:val="20"/>
          <w:szCs w:val="20"/>
        </w:rPr>
        <w:t>opulation health clinical infrastructure</w:t>
      </w:r>
    </w:p>
    <w:p w14:paraId="58214B77" w14:textId="7C7934B8" w:rsidR="007253A1" w:rsidRDefault="007501CB" w:rsidP="0035369D">
      <w:pPr>
        <w:pStyle w:val="ListParagraph"/>
        <w:numPr>
          <w:ilvl w:val="0"/>
          <w:numId w:val="21"/>
        </w:numPr>
        <w:spacing w:after="0"/>
        <w:rPr>
          <w:sz w:val="20"/>
          <w:szCs w:val="20"/>
        </w:rPr>
      </w:pPr>
      <w:r>
        <w:rPr>
          <w:sz w:val="20"/>
          <w:szCs w:val="20"/>
        </w:rPr>
        <w:t>H</w:t>
      </w:r>
      <w:r w:rsidR="00D06D88" w:rsidRPr="007253A1">
        <w:rPr>
          <w:sz w:val="20"/>
          <w:szCs w:val="20"/>
        </w:rPr>
        <w:t>ealth and lifestyle</w:t>
      </w:r>
    </w:p>
    <w:p w14:paraId="07126EC0" w14:textId="7F125136" w:rsidR="007253A1" w:rsidRDefault="007501CB" w:rsidP="0035369D">
      <w:pPr>
        <w:pStyle w:val="ListParagraph"/>
        <w:numPr>
          <w:ilvl w:val="0"/>
          <w:numId w:val="21"/>
        </w:numPr>
        <w:spacing w:after="0"/>
        <w:rPr>
          <w:sz w:val="20"/>
          <w:szCs w:val="20"/>
        </w:rPr>
      </w:pPr>
      <w:r>
        <w:rPr>
          <w:sz w:val="20"/>
          <w:szCs w:val="20"/>
        </w:rPr>
        <w:t>R</w:t>
      </w:r>
      <w:r w:rsidR="00D06D88" w:rsidRPr="007253A1">
        <w:rPr>
          <w:sz w:val="20"/>
          <w:szCs w:val="20"/>
        </w:rPr>
        <w:t>ural provider strategic partnerships</w:t>
      </w:r>
    </w:p>
    <w:p w14:paraId="36FDCE5F" w14:textId="23A99FCB" w:rsidR="007253A1" w:rsidRDefault="007501CB" w:rsidP="0035369D">
      <w:pPr>
        <w:pStyle w:val="ListParagraph"/>
        <w:numPr>
          <w:ilvl w:val="0"/>
          <w:numId w:val="21"/>
        </w:numPr>
        <w:spacing w:after="0"/>
        <w:rPr>
          <w:sz w:val="20"/>
          <w:szCs w:val="20"/>
        </w:rPr>
      </w:pPr>
      <w:r>
        <w:rPr>
          <w:sz w:val="20"/>
          <w:szCs w:val="20"/>
        </w:rPr>
        <w:t>Emergency Medical Services (</w:t>
      </w:r>
      <w:r w:rsidR="00D06D88" w:rsidRPr="007253A1">
        <w:rPr>
          <w:sz w:val="20"/>
          <w:szCs w:val="20"/>
        </w:rPr>
        <w:t>EMS</w:t>
      </w:r>
      <w:r>
        <w:rPr>
          <w:sz w:val="20"/>
          <w:szCs w:val="20"/>
        </w:rPr>
        <w:t>)</w:t>
      </w:r>
    </w:p>
    <w:p w14:paraId="34A966DA" w14:textId="77777777" w:rsidR="007253A1" w:rsidRDefault="00D06D88" w:rsidP="0035369D">
      <w:pPr>
        <w:pStyle w:val="ListParagraph"/>
        <w:numPr>
          <w:ilvl w:val="0"/>
          <w:numId w:val="21"/>
        </w:numPr>
        <w:spacing w:after="0"/>
        <w:rPr>
          <w:sz w:val="20"/>
          <w:szCs w:val="20"/>
        </w:rPr>
      </w:pPr>
      <w:r w:rsidRPr="007253A1">
        <w:rPr>
          <w:sz w:val="20"/>
          <w:szCs w:val="20"/>
        </w:rPr>
        <w:t>Talent recruitment</w:t>
      </w:r>
    </w:p>
    <w:p w14:paraId="3367C803" w14:textId="77777777" w:rsidR="007253A1" w:rsidRDefault="00D06D88" w:rsidP="0035369D">
      <w:pPr>
        <w:pStyle w:val="ListParagraph"/>
        <w:numPr>
          <w:ilvl w:val="0"/>
          <w:numId w:val="21"/>
        </w:numPr>
        <w:spacing w:after="0"/>
        <w:rPr>
          <w:sz w:val="20"/>
          <w:szCs w:val="20"/>
        </w:rPr>
      </w:pPr>
      <w:r w:rsidRPr="007253A1">
        <w:rPr>
          <w:sz w:val="20"/>
          <w:szCs w:val="20"/>
        </w:rPr>
        <w:t>Medicaid provider payment incentives</w:t>
      </w:r>
    </w:p>
    <w:p w14:paraId="54924D8C" w14:textId="77777777" w:rsidR="00B82B3D" w:rsidRDefault="00B82B3D" w:rsidP="0035369D">
      <w:pPr>
        <w:pStyle w:val="ListParagraph"/>
        <w:numPr>
          <w:ilvl w:val="0"/>
          <w:numId w:val="21"/>
        </w:numPr>
        <w:spacing w:after="0"/>
        <w:rPr>
          <w:sz w:val="20"/>
          <w:szCs w:val="20"/>
        </w:rPr>
      </w:pPr>
      <w:r>
        <w:rPr>
          <w:sz w:val="20"/>
          <w:szCs w:val="20"/>
        </w:rPr>
        <w:t>I</w:t>
      </w:r>
      <w:r w:rsidR="00D06D88" w:rsidRPr="007253A1">
        <w:rPr>
          <w:sz w:val="20"/>
          <w:szCs w:val="20"/>
        </w:rPr>
        <w:t>ndividuals dually eligible for Medicare and Medicaid</w:t>
      </w:r>
    </w:p>
    <w:p w14:paraId="3190344B" w14:textId="77777777" w:rsidR="00B82B3D" w:rsidRDefault="00B82B3D" w:rsidP="0035369D">
      <w:pPr>
        <w:pStyle w:val="ListParagraph"/>
        <w:numPr>
          <w:ilvl w:val="0"/>
          <w:numId w:val="21"/>
        </w:numPr>
        <w:spacing w:after="0"/>
        <w:rPr>
          <w:sz w:val="20"/>
          <w:szCs w:val="20"/>
        </w:rPr>
      </w:pPr>
      <w:r>
        <w:rPr>
          <w:sz w:val="20"/>
          <w:szCs w:val="20"/>
        </w:rPr>
        <w:t>R</w:t>
      </w:r>
      <w:r w:rsidR="000F1847" w:rsidRPr="007253A1">
        <w:rPr>
          <w:sz w:val="20"/>
          <w:szCs w:val="20"/>
        </w:rPr>
        <w:t>emote care services</w:t>
      </w:r>
    </w:p>
    <w:p w14:paraId="5A5B5A84" w14:textId="77777777" w:rsidR="00B82B3D" w:rsidRDefault="00B82B3D" w:rsidP="0035369D">
      <w:pPr>
        <w:pStyle w:val="ListParagraph"/>
        <w:numPr>
          <w:ilvl w:val="0"/>
          <w:numId w:val="21"/>
        </w:numPr>
        <w:spacing w:after="0"/>
        <w:rPr>
          <w:sz w:val="20"/>
          <w:szCs w:val="20"/>
        </w:rPr>
      </w:pPr>
      <w:r>
        <w:rPr>
          <w:sz w:val="20"/>
          <w:szCs w:val="20"/>
        </w:rPr>
        <w:t>D</w:t>
      </w:r>
      <w:r w:rsidR="000F1847" w:rsidRPr="007253A1">
        <w:rPr>
          <w:sz w:val="20"/>
          <w:szCs w:val="20"/>
        </w:rPr>
        <w:t>ata infrastructure</w:t>
      </w:r>
    </w:p>
    <w:p w14:paraId="7956FC89" w14:textId="7DAC5A15" w:rsidR="000B2AD0" w:rsidRPr="007253A1" w:rsidRDefault="00B82B3D" w:rsidP="0035369D">
      <w:pPr>
        <w:pStyle w:val="ListParagraph"/>
        <w:numPr>
          <w:ilvl w:val="0"/>
          <w:numId w:val="21"/>
        </w:numPr>
        <w:spacing w:after="0"/>
        <w:rPr>
          <w:sz w:val="20"/>
          <w:szCs w:val="20"/>
        </w:rPr>
      </w:pPr>
      <w:r>
        <w:rPr>
          <w:sz w:val="20"/>
          <w:szCs w:val="20"/>
        </w:rPr>
        <w:t>C</w:t>
      </w:r>
      <w:r w:rsidR="000F1847" w:rsidRPr="007253A1">
        <w:rPr>
          <w:sz w:val="20"/>
          <w:szCs w:val="20"/>
        </w:rPr>
        <w:t>onsumer-facing technology.</w:t>
      </w:r>
    </w:p>
    <w:p w14:paraId="33EF5803" w14:textId="01EC2710" w:rsidR="000B2AD0" w:rsidRDefault="000B2AD0" w:rsidP="000B2AD0">
      <w:pPr>
        <w:spacing w:after="0"/>
        <w:ind w:left="720"/>
        <w:rPr>
          <w:sz w:val="20"/>
          <w:szCs w:val="20"/>
        </w:rPr>
      </w:pPr>
    </w:p>
    <w:p w14:paraId="70F6CE4C" w14:textId="30BD3F03" w:rsidR="005C3809" w:rsidRDefault="005C3809" w:rsidP="000B2AD0">
      <w:pPr>
        <w:spacing w:after="0"/>
        <w:ind w:left="720"/>
        <w:rPr>
          <w:sz w:val="20"/>
          <w:szCs w:val="20"/>
        </w:rPr>
      </w:pPr>
      <w:r>
        <w:rPr>
          <w:sz w:val="20"/>
          <w:szCs w:val="20"/>
        </w:rPr>
        <w:t>Each respondent may submit a response that includes one or more initiatives. For each initiative, the response should include the following information:</w:t>
      </w:r>
    </w:p>
    <w:p w14:paraId="3268B6D3" w14:textId="77777777" w:rsidR="003C3172" w:rsidRDefault="003C3172" w:rsidP="000B2AD0">
      <w:pPr>
        <w:spacing w:after="0"/>
        <w:ind w:left="720"/>
        <w:rPr>
          <w:sz w:val="20"/>
          <w:szCs w:val="20"/>
        </w:rPr>
      </w:pPr>
    </w:p>
    <w:p w14:paraId="1AB1A549" w14:textId="2E687306" w:rsidR="005C3809" w:rsidRDefault="005C3809" w:rsidP="005C3809">
      <w:pPr>
        <w:pStyle w:val="ListParagraph"/>
        <w:numPr>
          <w:ilvl w:val="1"/>
          <w:numId w:val="1"/>
        </w:numPr>
        <w:spacing w:after="0"/>
        <w:rPr>
          <w:sz w:val="20"/>
          <w:szCs w:val="20"/>
        </w:rPr>
      </w:pPr>
      <w:r>
        <w:rPr>
          <w:sz w:val="20"/>
          <w:szCs w:val="20"/>
        </w:rPr>
        <w:t>Title</w:t>
      </w:r>
    </w:p>
    <w:p w14:paraId="6DDAB9D1" w14:textId="77777777" w:rsidR="00855480" w:rsidRDefault="00855480" w:rsidP="00855480">
      <w:pPr>
        <w:pStyle w:val="ListParagraph"/>
        <w:spacing w:after="0"/>
        <w:ind w:left="1080"/>
        <w:rPr>
          <w:sz w:val="20"/>
          <w:szCs w:val="20"/>
        </w:rPr>
      </w:pPr>
    </w:p>
    <w:p w14:paraId="4ED551C5" w14:textId="0764720C" w:rsidR="005C3809" w:rsidRDefault="005C3809" w:rsidP="005C3809">
      <w:pPr>
        <w:pStyle w:val="ListParagraph"/>
        <w:numPr>
          <w:ilvl w:val="1"/>
          <w:numId w:val="1"/>
        </w:numPr>
        <w:spacing w:after="0"/>
        <w:rPr>
          <w:sz w:val="20"/>
          <w:szCs w:val="20"/>
        </w:rPr>
      </w:pPr>
      <w:r>
        <w:rPr>
          <w:sz w:val="20"/>
          <w:szCs w:val="20"/>
        </w:rPr>
        <w:t>Summary</w:t>
      </w:r>
    </w:p>
    <w:p w14:paraId="4BD6A64A" w14:textId="77777777" w:rsidR="00855480" w:rsidRPr="00855480" w:rsidRDefault="00855480" w:rsidP="00855480">
      <w:pPr>
        <w:spacing w:after="0"/>
        <w:rPr>
          <w:sz w:val="20"/>
          <w:szCs w:val="20"/>
        </w:rPr>
      </w:pPr>
    </w:p>
    <w:p w14:paraId="1A584828" w14:textId="2A4D20EC" w:rsidR="005C3809" w:rsidRDefault="005C3809" w:rsidP="005C3809">
      <w:pPr>
        <w:pStyle w:val="ListParagraph"/>
        <w:numPr>
          <w:ilvl w:val="1"/>
          <w:numId w:val="1"/>
        </w:numPr>
        <w:spacing w:after="0"/>
        <w:rPr>
          <w:sz w:val="20"/>
          <w:szCs w:val="20"/>
        </w:rPr>
      </w:pPr>
      <w:r>
        <w:rPr>
          <w:sz w:val="20"/>
          <w:szCs w:val="20"/>
        </w:rPr>
        <w:t xml:space="preserve">CMS Program Goals Advanced </w:t>
      </w:r>
      <w:r w:rsidR="003C3172">
        <w:rPr>
          <w:sz w:val="20"/>
          <w:szCs w:val="20"/>
        </w:rPr>
        <w:t>(indicate up to 3)</w:t>
      </w:r>
    </w:p>
    <w:p w14:paraId="393BEEC5" w14:textId="4ECB5580" w:rsidR="003C3172" w:rsidRPr="003C3172" w:rsidRDefault="003C3172" w:rsidP="003C3172">
      <w:pPr>
        <w:pStyle w:val="ListParagraph"/>
        <w:numPr>
          <w:ilvl w:val="2"/>
          <w:numId w:val="10"/>
        </w:numPr>
        <w:spacing w:after="0"/>
        <w:rPr>
          <w:sz w:val="20"/>
          <w:szCs w:val="20"/>
        </w:rPr>
      </w:pPr>
      <w:r w:rsidRPr="003C3172">
        <w:rPr>
          <w:sz w:val="20"/>
          <w:szCs w:val="20"/>
        </w:rPr>
        <w:t>Improve access to hospitals, other healthcare providers, and healthcare items and services furnished to rural residents.</w:t>
      </w:r>
    </w:p>
    <w:p w14:paraId="019BA845" w14:textId="1768293A" w:rsidR="003C3172" w:rsidRPr="003C3172" w:rsidRDefault="003C3172" w:rsidP="003C3172">
      <w:pPr>
        <w:pStyle w:val="ListParagraph"/>
        <w:numPr>
          <w:ilvl w:val="2"/>
          <w:numId w:val="10"/>
        </w:numPr>
        <w:spacing w:after="0"/>
        <w:rPr>
          <w:sz w:val="20"/>
          <w:szCs w:val="20"/>
        </w:rPr>
      </w:pPr>
      <w:r w:rsidRPr="003C3172">
        <w:rPr>
          <w:sz w:val="20"/>
          <w:szCs w:val="20"/>
        </w:rPr>
        <w:t>Improve healthcare outcomes of rural residents.</w:t>
      </w:r>
    </w:p>
    <w:p w14:paraId="669C94C0" w14:textId="4001F3EC" w:rsidR="003C3172" w:rsidRPr="003C3172" w:rsidRDefault="003C3172" w:rsidP="003C3172">
      <w:pPr>
        <w:pStyle w:val="ListParagraph"/>
        <w:numPr>
          <w:ilvl w:val="2"/>
          <w:numId w:val="10"/>
        </w:numPr>
        <w:spacing w:after="0"/>
        <w:rPr>
          <w:sz w:val="20"/>
          <w:szCs w:val="20"/>
        </w:rPr>
      </w:pPr>
      <w:r w:rsidRPr="003C3172">
        <w:rPr>
          <w:sz w:val="20"/>
          <w:szCs w:val="20"/>
        </w:rPr>
        <w:t>Prioritize the use of new and emerging technologies that emphasize prevention and chronic disease management.</w:t>
      </w:r>
    </w:p>
    <w:p w14:paraId="40046784" w14:textId="13253062" w:rsidR="003C3172" w:rsidRPr="003C3172" w:rsidRDefault="003C3172" w:rsidP="003C3172">
      <w:pPr>
        <w:pStyle w:val="ListParagraph"/>
        <w:numPr>
          <w:ilvl w:val="2"/>
          <w:numId w:val="10"/>
        </w:numPr>
        <w:spacing w:after="0"/>
        <w:rPr>
          <w:sz w:val="20"/>
          <w:szCs w:val="20"/>
        </w:rPr>
      </w:pPr>
      <w:r w:rsidRPr="003C3172">
        <w:rPr>
          <w:sz w:val="20"/>
          <w:szCs w:val="20"/>
        </w:rPr>
        <w:t>Initiate, foster, and strengthen local and regional strategic partnerships between rural hospitals and other healthcare providers to promote measurable quality improvement, increase financial stability, maximize economies of scale, and share best practices in care delivery.</w:t>
      </w:r>
    </w:p>
    <w:p w14:paraId="28E78AE1" w14:textId="5F0D4078" w:rsidR="003C3172" w:rsidRPr="003C3172" w:rsidRDefault="003C3172" w:rsidP="003C3172">
      <w:pPr>
        <w:pStyle w:val="ListParagraph"/>
        <w:numPr>
          <w:ilvl w:val="2"/>
          <w:numId w:val="10"/>
        </w:numPr>
        <w:spacing w:after="0"/>
        <w:rPr>
          <w:sz w:val="20"/>
          <w:szCs w:val="20"/>
        </w:rPr>
      </w:pPr>
      <w:r w:rsidRPr="003C3172">
        <w:rPr>
          <w:sz w:val="20"/>
          <w:szCs w:val="20"/>
        </w:rPr>
        <w:t>Enhance economic opportunity for, and the supply of, healthcare clinicians through enhanced recruitment and training.</w:t>
      </w:r>
    </w:p>
    <w:p w14:paraId="6652C831" w14:textId="6A9FEAAF" w:rsidR="003C3172" w:rsidRPr="003C3172" w:rsidRDefault="003C3172" w:rsidP="003C3172">
      <w:pPr>
        <w:pStyle w:val="ListParagraph"/>
        <w:numPr>
          <w:ilvl w:val="2"/>
          <w:numId w:val="10"/>
        </w:numPr>
        <w:spacing w:after="0"/>
        <w:rPr>
          <w:sz w:val="20"/>
          <w:szCs w:val="20"/>
        </w:rPr>
      </w:pPr>
      <w:r w:rsidRPr="003C3172">
        <w:rPr>
          <w:sz w:val="20"/>
          <w:szCs w:val="20"/>
        </w:rPr>
        <w:t>Prioritize data- and technology-driven solutions that help rural hospitals and other rural healthcare providers furnish high-quality healthcare services as close to a patient’s home as possible.</w:t>
      </w:r>
    </w:p>
    <w:p w14:paraId="29D40187" w14:textId="10D6DA9E" w:rsidR="003C3172" w:rsidRDefault="003C3172" w:rsidP="003C3172">
      <w:pPr>
        <w:pStyle w:val="ListParagraph"/>
        <w:numPr>
          <w:ilvl w:val="2"/>
          <w:numId w:val="10"/>
        </w:numPr>
        <w:spacing w:after="0"/>
        <w:rPr>
          <w:sz w:val="20"/>
          <w:szCs w:val="20"/>
        </w:rPr>
      </w:pPr>
      <w:r w:rsidRPr="003C3172">
        <w:rPr>
          <w:sz w:val="20"/>
          <w:szCs w:val="20"/>
        </w:rPr>
        <w:t>Other (please describe).</w:t>
      </w:r>
    </w:p>
    <w:p w14:paraId="2060EDD6" w14:textId="77777777" w:rsidR="00855480" w:rsidRDefault="00855480" w:rsidP="00855480">
      <w:pPr>
        <w:pStyle w:val="ListParagraph"/>
        <w:spacing w:after="0"/>
        <w:ind w:left="1980"/>
        <w:rPr>
          <w:sz w:val="20"/>
          <w:szCs w:val="20"/>
        </w:rPr>
      </w:pPr>
    </w:p>
    <w:p w14:paraId="25E7EF70" w14:textId="2EC26A09" w:rsidR="00081297" w:rsidRDefault="00081297" w:rsidP="00A77204">
      <w:pPr>
        <w:pStyle w:val="ListParagraph"/>
        <w:numPr>
          <w:ilvl w:val="1"/>
          <w:numId w:val="1"/>
        </w:numPr>
        <w:spacing w:after="0"/>
        <w:rPr>
          <w:sz w:val="20"/>
          <w:szCs w:val="20"/>
        </w:rPr>
      </w:pPr>
      <w:r>
        <w:rPr>
          <w:sz w:val="20"/>
          <w:szCs w:val="20"/>
        </w:rPr>
        <w:t>Allowable RHTP Activity Categories (indicate up to 3)</w:t>
      </w:r>
    </w:p>
    <w:p w14:paraId="0C30C954" w14:textId="68DCA19A" w:rsidR="00081297" w:rsidRPr="00081297" w:rsidRDefault="00A07F32" w:rsidP="00855480">
      <w:pPr>
        <w:pStyle w:val="ListParagraph"/>
        <w:numPr>
          <w:ilvl w:val="2"/>
          <w:numId w:val="10"/>
        </w:numPr>
        <w:spacing w:after="0"/>
        <w:rPr>
          <w:sz w:val="20"/>
          <w:szCs w:val="20"/>
        </w:rPr>
      </w:pPr>
      <w:r>
        <w:rPr>
          <w:sz w:val="20"/>
          <w:szCs w:val="20"/>
        </w:rPr>
        <w:t xml:space="preserve">Prevention and chronic disease: </w:t>
      </w:r>
      <w:r w:rsidR="00081297" w:rsidRPr="00081297">
        <w:rPr>
          <w:sz w:val="20"/>
          <w:szCs w:val="20"/>
        </w:rPr>
        <w:t>Promoting evidence-based, measurable interventions to improve prevention and chronic disease management.</w:t>
      </w:r>
    </w:p>
    <w:p w14:paraId="40198CE5" w14:textId="08050AAF" w:rsidR="00081297" w:rsidRPr="00081297" w:rsidRDefault="00A07F32" w:rsidP="00855480">
      <w:pPr>
        <w:pStyle w:val="ListParagraph"/>
        <w:numPr>
          <w:ilvl w:val="2"/>
          <w:numId w:val="10"/>
        </w:numPr>
        <w:spacing w:after="0"/>
        <w:rPr>
          <w:sz w:val="20"/>
          <w:szCs w:val="20"/>
        </w:rPr>
      </w:pPr>
      <w:r>
        <w:rPr>
          <w:sz w:val="20"/>
          <w:szCs w:val="20"/>
        </w:rPr>
        <w:t xml:space="preserve">Provider payments: </w:t>
      </w:r>
      <w:r w:rsidR="00081297" w:rsidRPr="00081297">
        <w:rPr>
          <w:sz w:val="20"/>
          <w:szCs w:val="20"/>
        </w:rPr>
        <w:t>Providing payments to healthcare providers for the provision of health care items or services.</w:t>
      </w:r>
    </w:p>
    <w:p w14:paraId="223C75B7" w14:textId="5DC122B1" w:rsidR="00081297" w:rsidRPr="00081297" w:rsidRDefault="00A07F32" w:rsidP="00855480">
      <w:pPr>
        <w:pStyle w:val="ListParagraph"/>
        <w:numPr>
          <w:ilvl w:val="2"/>
          <w:numId w:val="10"/>
        </w:numPr>
        <w:spacing w:after="0"/>
        <w:rPr>
          <w:sz w:val="20"/>
          <w:szCs w:val="20"/>
        </w:rPr>
      </w:pPr>
      <w:r>
        <w:rPr>
          <w:sz w:val="20"/>
          <w:szCs w:val="20"/>
        </w:rPr>
        <w:t xml:space="preserve">Consumer tech solutions: </w:t>
      </w:r>
      <w:r w:rsidR="00081297" w:rsidRPr="00081297">
        <w:rPr>
          <w:sz w:val="20"/>
          <w:szCs w:val="20"/>
        </w:rPr>
        <w:t>Promoting consumer-facing, technology-driven solutions for the prevention and management of chronic diseases.</w:t>
      </w:r>
    </w:p>
    <w:p w14:paraId="3F1D474F" w14:textId="6CD3A03D" w:rsidR="00081297" w:rsidRPr="00081297" w:rsidRDefault="00A07F32" w:rsidP="00855480">
      <w:pPr>
        <w:pStyle w:val="ListParagraph"/>
        <w:numPr>
          <w:ilvl w:val="2"/>
          <w:numId w:val="10"/>
        </w:numPr>
        <w:spacing w:after="0"/>
        <w:rPr>
          <w:sz w:val="20"/>
          <w:szCs w:val="20"/>
        </w:rPr>
      </w:pPr>
      <w:r>
        <w:rPr>
          <w:sz w:val="20"/>
          <w:szCs w:val="20"/>
        </w:rPr>
        <w:t xml:space="preserve">Training and technical assistance: </w:t>
      </w:r>
      <w:r w:rsidR="00081297" w:rsidRPr="00081297">
        <w:rPr>
          <w:sz w:val="20"/>
          <w:szCs w:val="20"/>
        </w:rPr>
        <w:t>Providing training and technical assistance for the development and adoption of technology-enabled solutions that improve care delivery in rural hospitals, including remote monitoring, robotics, artificial intelligence, and other advanced technologies.</w:t>
      </w:r>
    </w:p>
    <w:p w14:paraId="43339CB3" w14:textId="0DB944FB" w:rsidR="00081297" w:rsidRDefault="00A07F32" w:rsidP="00855480">
      <w:pPr>
        <w:pStyle w:val="ListParagraph"/>
        <w:numPr>
          <w:ilvl w:val="2"/>
          <w:numId w:val="10"/>
        </w:numPr>
        <w:spacing w:after="0"/>
        <w:rPr>
          <w:sz w:val="20"/>
          <w:szCs w:val="20"/>
        </w:rPr>
      </w:pPr>
      <w:r>
        <w:rPr>
          <w:sz w:val="20"/>
          <w:szCs w:val="20"/>
        </w:rPr>
        <w:t xml:space="preserve">Workforce: </w:t>
      </w:r>
      <w:r w:rsidR="00081297" w:rsidRPr="00081297">
        <w:rPr>
          <w:sz w:val="20"/>
          <w:szCs w:val="20"/>
        </w:rPr>
        <w:t>Recruiting and retaining clinical workforce talent to rural areas, with commitments to serve rural communities for a minimum of 5 years.</w:t>
      </w:r>
    </w:p>
    <w:p w14:paraId="12183081" w14:textId="052D5B6E" w:rsidR="00D40CC3" w:rsidRPr="00081297" w:rsidRDefault="00A07F32" w:rsidP="00D40CC3">
      <w:pPr>
        <w:pStyle w:val="ListParagraph"/>
        <w:numPr>
          <w:ilvl w:val="2"/>
          <w:numId w:val="10"/>
        </w:numPr>
        <w:spacing w:after="0"/>
        <w:rPr>
          <w:sz w:val="20"/>
          <w:szCs w:val="20"/>
        </w:rPr>
      </w:pPr>
      <w:r>
        <w:rPr>
          <w:sz w:val="20"/>
          <w:szCs w:val="20"/>
        </w:rPr>
        <w:t xml:space="preserve">IT advances: </w:t>
      </w:r>
      <w:r w:rsidR="00D40CC3" w:rsidRPr="00081297">
        <w:rPr>
          <w:sz w:val="20"/>
          <w:szCs w:val="20"/>
        </w:rPr>
        <w:t>Providing technical assistance, software, and hardware for significant information technology advances designed to improve efficiency, enhance cybersecurity capability development, and improve patient health outcomes.</w:t>
      </w:r>
    </w:p>
    <w:p w14:paraId="45097F28" w14:textId="7D2ACD8C" w:rsidR="00D40CC3" w:rsidRPr="00081297" w:rsidRDefault="00A07F32" w:rsidP="00D40CC3">
      <w:pPr>
        <w:pStyle w:val="ListParagraph"/>
        <w:numPr>
          <w:ilvl w:val="2"/>
          <w:numId w:val="10"/>
        </w:numPr>
        <w:spacing w:after="0"/>
        <w:rPr>
          <w:sz w:val="20"/>
          <w:szCs w:val="20"/>
        </w:rPr>
      </w:pPr>
      <w:r>
        <w:rPr>
          <w:sz w:val="20"/>
          <w:szCs w:val="20"/>
        </w:rPr>
        <w:t xml:space="preserve">Appropriate care availability: </w:t>
      </w:r>
      <w:r w:rsidR="00D40CC3" w:rsidRPr="00081297">
        <w:rPr>
          <w:sz w:val="20"/>
          <w:szCs w:val="20"/>
        </w:rPr>
        <w:t>Assisting rural communities to right size their healthcare delivery systems by identifying needed preventative, ambulatory, pre-hospital, emergency, acute inpatient care, outpatient care, and post-acute care service lines.</w:t>
      </w:r>
    </w:p>
    <w:p w14:paraId="18600783" w14:textId="5386971D" w:rsidR="00D40CC3" w:rsidRPr="00081297" w:rsidRDefault="00A07F32" w:rsidP="00D40CC3">
      <w:pPr>
        <w:pStyle w:val="ListParagraph"/>
        <w:numPr>
          <w:ilvl w:val="2"/>
          <w:numId w:val="10"/>
        </w:numPr>
        <w:spacing w:after="0"/>
        <w:rPr>
          <w:sz w:val="20"/>
          <w:szCs w:val="20"/>
        </w:rPr>
      </w:pPr>
      <w:r>
        <w:rPr>
          <w:sz w:val="20"/>
          <w:szCs w:val="20"/>
        </w:rPr>
        <w:t xml:space="preserve">Behavioral health: </w:t>
      </w:r>
      <w:r w:rsidR="00D40CC3" w:rsidRPr="00081297">
        <w:rPr>
          <w:sz w:val="20"/>
          <w:szCs w:val="20"/>
        </w:rPr>
        <w:t>Supporting access to opioid use disorder treatment services, or other substance use disorder treatment services, and mental health services.</w:t>
      </w:r>
    </w:p>
    <w:p w14:paraId="370CE83C" w14:textId="1B4C580B" w:rsidR="00D40CC3" w:rsidRPr="00081297" w:rsidRDefault="00A07F32" w:rsidP="00D40CC3">
      <w:pPr>
        <w:pStyle w:val="ListParagraph"/>
        <w:numPr>
          <w:ilvl w:val="2"/>
          <w:numId w:val="10"/>
        </w:numPr>
        <w:spacing w:after="0"/>
        <w:rPr>
          <w:sz w:val="20"/>
          <w:szCs w:val="20"/>
        </w:rPr>
      </w:pPr>
      <w:r>
        <w:rPr>
          <w:sz w:val="20"/>
          <w:szCs w:val="20"/>
        </w:rPr>
        <w:t xml:space="preserve">Innovative care: </w:t>
      </w:r>
      <w:r w:rsidR="00D40CC3" w:rsidRPr="00081297">
        <w:rPr>
          <w:sz w:val="20"/>
          <w:szCs w:val="20"/>
        </w:rPr>
        <w:t>Developing projects that support innovative models of care that include value-based care arrangements and alternative payment models.</w:t>
      </w:r>
    </w:p>
    <w:p w14:paraId="05360FC1" w14:textId="77777777" w:rsidR="00D40CC3" w:rsidRPr="00081297" w:rsidRDefault="00D40CC3" w:rsidP="00D40CC3">
      <w:pPr>
        <w:pStyle w:val="ListParagraph"/>
        <w:numPr>
          <w:ilvl w:val="2"/>
          <w:numId w:val="10"/>
        </w:numPr>
        <w:spacing w:after="0"/>
        <w:rPr>
          <w:sz w:val="20"/>
          <w:szCs w:val="20"/>
        </w:rPr>
      </w:pPr>
      <w:r w:rsidRPr="00081297">
        <w:rPr>
          <w:sz w:val="20"/>
          <w:szCs w:val="20"/>
        </w:rPr>
        <w:t>Additional uses designed to promote sustainable access to high quality rural healthcare services.</w:t>
      </w:r>
    </w:p>
    <w:p w14:paraId="25F70F71" w14:textId="21D439F4" w:rsidR="00D40CC3" w:rsidRPr="00D40CC3" w:rsidRDefault="00D40CC3" w:rsidP="00D40CC3">
      <w:pPr>
        <w:pStyle w:val="ListParagraph"/>
        <w:numPr>
          <w:ilvl w:val="2"/>
          <w:numId w:val="10"/>
        </w:numPr>
        <w:spacing w:after="0"/>
        <w:rPr>
          <w:sz w:val="20"/>
          <w:szCs w:val="20"/>
        </w:rPr>
      </w:pPr>
      <w:r w:rsidRPr="00081297">
        <w:rPr>
          <w:sz w:val="20"/>
          <w:szCs w:val="20"/>
        </w:rPr>
        <w:t>Other (please describe).</w:t>
      </w:r>
    </w:p>
    <w:p w14:paraId="0B402649" w14:textId="77777777" w:rsidR="00197482" w:rsidRDefault="00197482" w:rsidP="00197482">
      <w:pPr>
        <w:spacing w:after="0"/>
        <w:rPr>
          <w:sz w:val="20"/>
          <w:szCs w:val="20"/>
        </w:rPr>
      </w:pPr>
    </w:p>
    <w:p w14:paraId="7A0AF6B9" w14:textId="0E1D0422" w:rsidR="00197482" w:rsidRDefault="001E5723" w:rsidP="00A77204">
      <w:pPr>
        <w:pStyle w:val="ListParagraph"/>
        <w:numPr>
          <w:ilvl w:val="1"/>
          <w:numId w:val="1"/>
        </w:numPr>
        <w:spacing w:after="0"/>
        <w:rPr>
          <w:sz w:val="20"/>
          <w:szCs w:val="20"/>
        </w:rPr>
      </w:pPr>
      <w:r>
        <w:rPr>
          <w:sz w:val="20"/>
          <w:szCs w:val="20"/>
        </w:rPr>
        <w:t>Expected Outcomes</w:t>
      </w:r>
    </w:p>
    <w:p w14:paraId="14345E00" w14:textId="77777777" w:rsidR="00D40CC3" w:rsidRDefault="00D40CC3" w:rsidP="00D40CC3">
      <w:pPr>
        <w:pStyle w:val="ListParagraph"/>
        <w:spacing w:after="0"/>
        <w:ind w:left="1080"/>
        <w:rPr>
          <w:sz w:val="20"/>
          <w:szCs w:val="20"/>
        </w:rPr>
      </w:pPr>
    </w:p>
    <w:p w14:paraId="72D48ED1" w14:textId="38BA2401" w:rsidR="00D40CC3" w:rsidRDefault="00D40CC3" w:rsidP="00A77204">
      <w:pPr>
        <w:pStyle w:val="ListParagraph"/>
        <w:numPr>
          <w:ilvl w:val="1"/>
          <w:numId w:val="1"/>
        </w:numPr>
        <w:spacing w:after="0"/>
        <w:rPr>
          <w:sz w:val="20"/>
          <w:szCs w:val="20"/>
        </w:rPr>
      </w:pPr>
      <w:r>
        <w:rPr>
          <w:sz w:val="20"/>
          <w:szCs w:val="20"/>
        </w:rPr>
        <w:t>Cost Estimates</w:t>
      </w:r>
    </w:p>
    <w:p w14:paraId="7FA1081F" w14:textId="77777777" w:rsidR="00D40CC3" w:rsidRDefault="00D40CC3" w:rsidP="00D40CC3">
      <w:pPr>
        <w:pStyle w:val="ListParagraph"/>
        <w:spacing w:after="0"/>
        <w:ind w:left="1080"/>
        <w:rPr>
          <w:sz w:val="20"/>
          <w:szCs w:val="20"/>
        </w:rPr>
      </w:pPr>
    </w:p>
    <w:p w14:paraId="2E7F6C76" w14:textId="1C7AB508" w:rsidR="00D40CC3" w:rsidRDefault="00D40CC3" w:rsidP="00A77204">
      <w:pPr>
        <w:pStyle w:val="ListParagraph"/>
        <w:numPr>
          <w:ilvl w:val="1"/>
          <w:numId w:val="1"/>
        </w:numPr>
        <w:spacing w:after="0"/>
        <w:rPr>
          <w:sz w:val="20"/>
          <w:szCs w:val="20"/>
        </w:rPr>
      </w:pPr>
      <w:r>
        <w:rPr>
          <w:sz w:val="20"/>
          <w:szCs w:val="20"/>
        </w:rPr>
        <w:t xml:space="preserve">Funding Category Alignment </w:t>
      </w:r>
    </w:p>
    <w:p w14:paraId="586DB66A" w14:textId="77777777" w:rsidR="00D40CC3" w:rsidRPr="00D40CC3" w:rsidRDefault="00D40CC3" w:rsidP="00D40CC3">
      <w:pPr>
        <w:pStyle w:val="ListParagraph"/>
        <w:rPr>
          <w:sz w:val="20"/>
          <w:szCs w:val="20"/>
        </w:rPr>
      </w:pPr>
    </w:p>
    <w:p w14:paraId="2180774E" w14:textId="1CAB9CD9" w:rsidR="00D40CC3" w:rsidRPr="00A24DF3" w:rsidRDefault="00A24DF3" w:rsidP="00A24DF3">
      <w:pPr>
        <w:pStyle w:val="ListParagraph"/>
        <w:numPr>
          <w:ilvl w:val="0"/>
          <w:numId w:val="9"/>
        </w:numPr>
        <w:spacing w:after="0"/>
        <w:rPr>
          <w:sz w:val="20"/>
          <w:szCs w:val="20"/>
        </w:rPr>
      </w:pPr>
      <w:r>
        <w:rPr>
          <w:sz w:val="20"/>
          <w:szCs w:val="20"/>
        </w:rPr>
        <w:t xml:space="preserve">State Policy </w:t>
      </w:r>
      <w:r w:rsidR="001C26C8">
        <w:rPr>
          <w:sz w:val="20"/>
          <w:szCs w:val="20"/>
        </w:rPr>
        <w:t>Actions</w:t>
      </w:r>
    </w:p>
    <w:p w14:paraId="297E2A6C" w14:textId="77777777" w:rsidR="005C3809" w:rsidRDefault="005C3809" w:rsidP="000B2AD0">
      <w:pPr>
        <w:spacing w:after="0"/>
        <w:ind w:left="720"/>
        <w:rPr>
          <w:sz w:val="20"/>
          <w:szCs w:val="20"/>
        </w:rPr>
      </w:pPr>
    </w:p>
    <w:p w14:paraId="7C948907" w14:textId="7C7D4023" w:rsidR="003263BF" w:rsidRDefault="003263BF" w:rsidP="003263BF">
      <w:pPr>
        <w:pStyle w:val="ListParagraph"/>
        <w:spacing w:after="0"/>
        <w:rPr>
          <w:sz w:val="20"/>
          <w:szCs w:val="20"/>
        </w:rPr>
      </w:pPr>
      <w:r>
        <w:rPr>
          <w:sz w:val="20"/>
          <w:szCs w:val="20"/>
        </w:rPr>
        <w:t xml:space="preserve">This RFI also seeks feedback on the specific state policy actions that may be included in the application. </w:t>
      </w:r>
    </w:p>
    <w:p w14:paraId="6EA2BDB9" w14:textId="77777777" w:rsidR="003263BF" w:rsidRDefault="003263BF" w:rsidP="003263BF">
      <w:pPr>
        <w:spacing w:after="0"/>
        <w:rPr>
          <w:sz w:val="20"/>
          <w:szCs w:val="20"/>
        </w:rPr>
      </w:pPr>
    </w:p>
    <w:p w14:paraId="4DB346BF" w14:textId="01DFB373" w:rsidR="005C3809" w:rsidRDefault="00993021" w:rsidP="000B2AD0">
      <w:pPr>
        <w:spacing w:after="0"/>
        <w:ind w:left="720"/>
        <w:rPr>
          <w:sz w:val="20"/>
          <w:szCs w:val="20"/>
        </w:rPr>
      </w:pPr>
      <w:r>
        <w:rPr>
          <w:sz w:val="20"/>
          <w:szCs w:val="20"/>
        </w:rPr>
        <w:t xml:space="preserve">The CMS NOFO </w:t>
      </w:r>
      <w:r w:rsidR="00670F67">
        <w:rPr>
          <w:sz w:val="20"/>
          <w:szCs w:val="20"/>
        </w:rPr>
        <w:t>states:</w:t>
      </w:r>
    </w:p>
    <w:p w14:paraId="6604D78C" w14:textId="77777777" w:rsidR="00993021" w:rsidRDefault="00993021" w:rsidP="000B2AD0">
      <w:pPr>
        <w:spacing w:after="0"/>
        <w:ind w:left="720"/>
        <w:rPr>
          <w:sz w:val="20"/>
          <w:szCs w:val="20"/>
        </w:rPr>
      </w:pPr>
    </w:p>
    <w:p w14:paraId="2F34FE5F" w14:textId="77777777" w:rsidR="00993021" w:rsidRDefault="00993021" w:rsidP="00B40FEE">
      <w:pPr>
        <w:spacing w:after="0"/>
        <w:ind w:left="1440"/>
        <w:rPr>
          <w:sz w:val="20"/>
          <w:szCs w:val="20"/>
        </w:rPr>
      </w:pPr>
      <w:r>
        <w:rPr>
          <w:sz w:val="20"/>
          <w:szCs w:val="20"/>
        </w:rPr>
        <w:t>“We will score state applications more favorably if they include a commitment to adopt one or more of the following policies or, if applicable, identify these policies as already implemented in the state.”</w:t>
      </w:r>
    </w:p>
    <w:p w14:paraId="2B1D3CF5" w14:textId="77777777" w:rsidR="00993021" w:rsidRDefault="00993021" w:rsidP="000B2AD0">
      <w:pPr>
        <w:spacing w:after="0"/>
        <w:ind w:left="720"/>
        <w:rPr>
          <w:sz w:val="20"/>
          <w:szCs w:val="20"/>
        </w:rPr>
      </w:pPr>
    </w:p>
    <w:p w14:paraId="344D5426" w14:textId="6C163FF3" w:rsidR="00AB35DF" w:rsidRDefault="00993021" w:rsidP="003263BF">
      <w:pPr>
        <w:spacing w:after="0"/>
        <w:ind w:left="720"/>
        <w:rPr>
          <w:sz w:val="20"/>
          <w:szCs w:val="20"/>
        </w:rPr>
      </w:pPr>
      <w:r>
        <w:rPr>
          <w:sz w:val="20"/>
          <w:szCs w:val="20"/>
        </w:rPr>
        <w:t xml:space="preserve">These state level policy actions are not mandatory but directly affect the application’s </w:t>
      </w:r>
      <w:r w:rsidR="007819AD">
        <w:rPr>
          <w:sz w:val="20"/>
          <w:szCs w:val="20"/>
        </w:rPr>
        <w:t xml:space="preserve">competitiveness and award amount. In addition, they create prospective performance obligations and if a state </w:t>
      </w:r>
      <w:r w:rsidR="00AB35DF">
        <w:rPr>
          <w:sz w:val="20"/>
          <w:szCs w:val="20"/>
        </w:rPr>
        <w:t>commits to actions it does not adopt funding will be recouped.</w:t>
      </w:r>
    </w:p>
    <w:p w14:paraId="725E5BBA" w14:textId="77777777" w:rsidR="00401745" w:rsidRDefault="00401745" w:rsidP="00B40FEE">
      <w:pPr>
        <w:pStyle w:val="ListParagraph"/>
        <w:spacing w:after="0"/>
        <w:rPr>
          <w:sz w:val="20"/>
          <w:szCs w:val="20"/>
        </w:rPr>
      </w:pPr>
    </w:p>
    <w:p w14:paraId="1AB8ACCF" w14:textId="5E73F4DD" w:rsidR="001B320B" w:rsidRPr="00401745" w:rsidRDefault="001B320B" w:rsidP="00B40FEE">
      <w:pPr>
        <w:pStyle w:val="ListParagraph"/>
        <w:spacing w:after="0"/>
        <w:rPr>
          <w:i/>
          <w:iCs/>
          <w:sz w:val="20"/>
          <w:szCs w:val="20"/>
        </w:rPr>
      </w:pPr>
      <w:r w:rsidRPr="00401745">
        <w:rPr>
          <w:i/>
          <w:iCs/>
          <w:sz w:val="20"/>
          <w:szCs w:val="20"/>
        </w:rPr>
        <w:t xml:space="preserve">The state policy actions </w:t>
      </w:r>
      <w:r w:rsidR="00B726ED" w:rsidRPr="00401745">
        <w:rPr>
          <w:i/>
          <w:iCs/>
          <w:sz w:val="20"/>
          <w:szCs w:val="20"/>
        </w:rPr>
        <w:t>as proposed in the NOFO are excerpted below</w:t>
      </w:r>
      <w:r w:rsidR="004A1B9F">
        <w:rPr>
          <w:i/>
          <w:iCs/>
          <w:sz w:val="20"/>
          <w:szCs w:val="20"/>
        </w:rPr>
        <w:t xml:space="preserve">. </w:t>
      </w:r>
      <w:r w:rsidR="00FE6776">
        <w:rPr>
          <w:i/>
          <w:iCs/>
          <w:sz w:val="20"/>
          <w:szCs w:val="20"/>
        </w:rPr>
        <w:t>Note that n</w:t>
      </w:r>
      <w:r w:rsidR="004A1B9F">
        <w:rPr>
          <w:i/>
          <w:iCs/>
          <w:sz w:val="20"/>
          <w:szCs w:val="20"/>
        </w:rPr>
        <w:t xml:space="preserve">ot all CMS-proposed policy solutions are germane to </w:t>
      </w:r>
      <w:r w:rsidR="001A5D92">
        <w:rPr>
          <w:i/>
          <w:iCs/>
          <w:sz w:val="20"/>
          <w:szCs w:val="20"/>
        </w:rPr>
        <w:t>or</w:t>
      </w:r>
      <w:r w:rsidR="00F80145">
        <w:rPr>
          <w:i/>
          <w:iCs/>
          <w:sz w:val="20"/>
          <w:szCs w:val="20"/>
        </w:rPr>
        <w:t xml:space="preserve"> </w:t>
      </w:r>
      <w:r w:rsidR="000F379D">
        <w:rPr>
          <w:i/>
          <w:iCs/>
          <w:sz w:val="20"/>
          <w:szCs w:val="20"/>
        </w:rPr>
        <w:t>u</w:t>
      </w:r>
      <w:r w:rsidR="000E52D3">
        <w:rPr>
          <w:i/>
          <w:iCs/>
          <w:sz w:val="20"/>
          <w:szCs w:val="20"/>
        </w:rPr>
        <w:t xml:space="preserve">nder consideration </w:t>
      </w:r>
      <w:r w:rsidR="00B157A3">
        <w:rPr>
          <w:i/>
          <w:iCs/>
          <w:sz w:val="20"/>
          <w:szCs w:val="20"/>
        </w:rPr>
        <w:t xml:space="preserve">for </w:t>
      </w:r>
      <w:r w:rsidR="00FA3796">
        <w:rPr>
          <w:i/>
          <w:iCs/>
          <w:sz w:val="20"/>
          <w:szCs w:val="20"/>
        </w:rPr>
        <w:t>New Mexico</w:t>
      </w:r>
      <w:r w:rsidR="00380B8B">
        <w:rPr>
          <w:i/>
          <w:iCs/>
          <w:sz w:val="20"/>
          <w:szCs w:val="20"/>
        </w:rPr>
        <w:t>, but they are all reproduced here</w:t>
      </w:r>
      <w:r w:rsidR="00095D68">
        <w:rPr>
          <w:i/>
          <w:iCs/>
          <w:sz w:val="20"/>
          <w:szCs w:val="20"/>
        </w:rPr>
        <w:t xml:space="preserve"> for awareness as part of this RFI</w:t>
      </w:r>
      <w:r w:rsidR="00FA3796">
        <w:rPr>
          <w:i/>
          <w:iCs/>
          <w:sz w:val="20"/>
          <w:szCs w:val="20"/>
        </w:rPr>
        <w:t>.</w:t>
      </w:r>
    </w:p>
    <w:p w14:paraId="04F1621C" w14:textId="77777777" w:rsidR="00AB35DF" w:rsidRDefault="00AB35DF" w:rsidP="00B726ED">
      <w:pPr>
        <w:spacing w:after="0"/>
        <w:rPr>
          <w:sz w:val="20"/>
          <w:szCs w:val="20"/>
        </w:rPr>
      </w:pPr>
    </w:p>
    <w:p w14:paraId="2C2FEB94" w14:textId="064EC931" w:rsidR="00B40FEE" w:rsidRDefault="002D506E" w:rsidP="002D506E">
      <w:pPr>
        <w:pStyle w:val="ListParagraph"/>
        <w:numPr>
          <w:ilvl w:val="0"/>
          <w:numId w:val="11"/>
        </w:numPr>
        <w:spacing w:after="0"/>
        <w:rPr>
          <w:sz w:val="20"/>
          <w:szCs w:val="20"/>
        </w:rPr>
      </w:pPr>
      <w:r>
        <w:rPr>
          <w:sz w:val="20"/>
          <w:szCs w:val="20"/>
        </w:rPr>
        <w:t>Health and lifestyle</w:t>
      </w:r>
    </w:p>
    <w:p w14:paraId="3025FA5B" w14:textId="77777777" w:rsidR="00630E68" w:rsidRDefault="00630E68" w:rsidP="00630E68">
      <w:pPr>
        <w:spacing w:after="0"/>
        <w:rPr>
          <w:sz w:val="20"/>
          <w:szCs w:val="20"/>
        </w:rPr>
      </w:pPr>
    </w:p>
    <w:p w14:paraId="5C13E579" w14:textId="13232FC9" w:rsidR="00B80287" w:rsidRDefault="00B80287" w:rsidP="00B80287">
      <w:pPr>
        <w:spacing w:after="0"/>
        <w:ind w:left="1080"/>
        <w:rPr>
          <w:sz w:val="20"/>
          <w:szCs w:val="20"/>
        </w:rPr>
      </w:pPr>
      <w:r w:rsidRPr="00B80287">
        <w:rPr>
          <w:sz w:val="20"/>
          <w:szCs w:val="20"/>
        </w:rPr>
        <w:t>Prevention-focused initiatives based on nutrition, diet, and exercise are relevant to rural health needs because they address prevalent health disparities and unique socioeconomic challenges in rural areas. Rural populations are disproportionately impacted by chronic diseases like obesity, diabetes, and heart disease, with one of the drivers being food and diet. Rural communities can benefit from initiatives promoting prevention through physical activity and proper nutrition, which can reduce overall cost of care burden and improve health outcomes.</w:t>
      </w:r>
    </w:p>
    <w:p w14:paraId="2FF19CFD" w14:textId="77777777" w:rsidR="00B23B6C" w:rsidRDefault="00B23B6C" w:rsidP="00B80287">
      <w:pPr>
        <w:spacing w:after="0"/>
        <w:ind w:left="1080"/>
        <w:rPr>
          <w:sz w:val="20"/>
          <w:szCs w:val="20"/>
        </w:rPr>
      </w:pPr>
    </w:p>
    <w:p w14:paraId="6CFEDAD8" w14:textId="00EAD01D" w:rsidR="00B23B6C" w:rsidRDefault="00B23B6C" w:rsidP="00B80287">
      <w:pPr>
        <w:spacing w:after="0"/>
        <w:ind w:left="1080"/>
        <w:rPr>
          <w:sz w:val="20"/>
          <w:szCs w:val="20"/>
        </w:rPr>
      </w:pPr>
      <w:r w:rsidRPr="00B23B6C">
        <w:rPr>
          <w:sz w:val="20"/>
          <w:szCs w:val="20"/>
        </w:rPr>
        <w:t>For State Policy Action Factor, factor captures whether a State requires schools to reestablish the Presidential Fitness Test. The Presidential Fitness Test must be reinstated in a way that is aligned with any announced federal guidance associated with Executive Order 14327. This factor will not contribute to a State’s overall points score until the budget period beginning after October 31, 2026. States will have until December 31,</w:t>
      </w:r>
      <w:r>
        <w:rPr>
          <w:sz w:val="20"/>
          <w:szCs w:val="20"/>
        </w:rPr>
        <w:t xml:space="preserve"> 2028 to enact this policy change.</w:t>
      </w:r>
    </w:p>
    <w:p w14:paraId="45D021A0" w14:textId="77777777" w:rsidR="00630E68" w:rsidRPr="00630E68" w:rsidRDefault="00630E68" w:rsidP="00630E68">
      <w:pPr>
        <w:spacing w:after="0"/>
        <w:rPr>
          <w:sz w:val="20"/>
          <w:szCs w:val="20"/>
        </w:rPr>
      </w:pPr>
    </w:p>
    <w:p w14:paraId="7E3FBC9C" w14:textId="5D402D54" w:rsidR="002D506E" w:rsidRDefault="002D506E" w:rsidP="002D506E">
      <w:pPr>
        <w:pStyle w:val="ListParagraph"/>
        <w:numPr>
          <w:ilvl w:val="0"/>
          <w:numId w:val="11"/>
        </w:numPr>
        <w:spacing w:after="0"/>
        <w:rPr>
          <w:sz w:val="20"/>
          <w:szCs w:val="20"/>
        </w:rPr>
      </w:pPr>
      <w:r>
        <w:rPr>
          <w:sz w:val="20"/>
          <w:szCs w:val="20"/>
        </w:rPr>
        <w:t>SNAP waivers</w:t>
      </w:r>
    </w:p>
    <w:p w14:paraId="4296D096" w14:textId="77777777" w:rsidR="009D52AA" w:rsidRDefault="009D52AA" w:rsidP="009D52AA">
      <w:pPr>
        <w:pStyle w:val="ListParagraph"/>
        <w:spacing w:after="0"/>
        <w:ind w:left="1080"/>
        <w:rPr>
          <w:sz w:val="20"/>
          <w:szCs w:val="20"/>
        </w:rPr>
      </w:pPr>
    </w:p>
    <w:p w14:paraId="541496EB" w14:textId="77777777" w:rsidR="00743CAE" w:rsidRDefault="009D52AA" w:rsidP="00743CAE">
      <w:pPr>
        <w:pStyle w:val="ListParagraph"/>
        <w:spacing w:after="0"/>
        <w:ind w:left="1080"/>
        <w:rPr>
          <w:sz w:val="20"/>
          <w:szCs w:val="20"/>
        </w:rPr>
      </w:pPr>
      <w:r w:rsidRPr="009D52AA">
        <w:rPr>
          <w:sz w:val="20"/>
          <w:szCs w:val="20"/>
        </w:rPr>
        <w:t>Rural populations are disproportionately impacted by chronic diseases like obesity, diabetes, and heart disease, with one of the drivers being food and diet. In addition, rural areas have higher rates of poverty and higher participation in SNAP benefits than urban areas. Restricting the use of SNAP benefits on non-nutritious foods can help improve dietary intake and clinical indicators associated with long-term disease in rural populations.</w:t>
      </w:r>
    </w:p>
    <w:p w14:paraId="7ACC4D34" w14:textId="77777777" w:rsidR="00743CAE" w:rsidRPr="00395232" w:rsidRDefault="00743CAE" w:rsidP="00395232">
      <w:pPr>
        <w:spacing w:after="0"/>
        <w:rPr>
          <w:sz w:val="20"/>
          <w:szCs w:val="20"/>
        </w:rPr>
      </w:pPr>
    </w:p>
    <w:p w14:paraId="1D68E703" w14:textId="21C32A13" w:rsidR="00395232" w:rsidRPr="00395232" w:rsidRDefault="00A965B7" w:rsidP="00395232">
      <w:pPr>
        <w:pStyle w:val="ListParagraph"/>
        <w:spacing w:after="0"/>
        <w:ind w:left="1080"/>
        <w:rPr>
          <w:sz w:val="20"/>
          <w:szCs w:val="20"/>
        </w:rPr>
      </w:pPr>
      <w:r w:rsidRPr="00743CAE">
        <w:rPr>
          <w:sz w:val="20"/>
          <w:szCs w:val="20"/>
        </w:rPr>
        <w:t>State to include in application whether a State has USDA SNAP Food Restriction Waiver that prohibits the purchase of non-nutritious items, to include one or more of soda (including sweetened drinks), candy, energy drinks, fruit and vegetable drinks with less than 50% natural juice, and prepared desserts.</w:t>
      </w:r>
    </w:p>
    <w:p w14:paraId="620DFAD4" w14:textId="77777777" w:rsidR="00395232" w:rsidRDefault="00395232" w:rsidP="00395232">
      <w:pPr>
        <w:pStyle w:val="ListParagraph"/>
        <w:spacing w:after="0"/>
        <w:ind w:left="1080"/>
        <w:rPr>
          <w:sz w:val="20"/>
          <w:szCs w:val="20"/>
        </w:rPr>
      </w:pPr>
    </w:p>
    <w:p w14:paraId="4572D97A" w14:textId="36EEB366" w:rsidR="00395232" w:rsidRPr="00395232" w:rsidRDefault="00395232" w:rsidP="00395232">
      <w:pPr>
        <w:pStyle w:val="ListParagraph"/>
        <w:spacing w:after="0"/>
        <w:ind w:left="1080"/>
        <w:rPr>
          <w:sz w:val="20"/>
          <w:szCs w:val="20"/>
        </w:rPr>
      </w:pPr>
      <w:r w:rsidRPr="00743CAE">
        <w:rPr>
          <w:sz w:val="20"/>
          <w:szCs w:val="20"/>
        </w:rPr>
        <w:t xml:space="preserve">Sources: </w:t>
      </w:r>
      <w:hyperlink r:id="rId11" w:history="1">
        <w:r w:rsidRPr="00743CAE">
          <w:rPr>
            <w:rStyle w:val="Hyperlink"/>
            <w:sz w:val="20"/>
            <w:szCs w:val="20"/>
          </w:rPr>
          <w:t>Rural Health Disparities, CDC</w:t>
        </w:r>
      </w:hyperlink>
      <w:r w:rsidRPr="00743CAE">
        <w:rPr>
          <w:sz w:val="20"/>
          <w:szCs w:val="20"/>
        </w:rPr>
        <w:t xml:space="preserve">, </w:t>
      </w:r>
      <w:hyperlink r:id="rId12" w:history="1">
        <w:r w:rsidRPr="00743CAE">
          <w:rPr>
            <w:rStyle w:val="Hyperlink"/>
            <w:sz w:val="20"/>
            <w:szCs w:val="20"/>
          </w:rPr>
          <w:t>Rural SNAP Participants and Food Insecurity</w:t>
        </w:r>
      </w:hyperlink>
      <w:r w:rsidRPr="00743CAE">
        <w:rPr>
          <w:sz w:val="20"/>
          <w:szCs w:val="20"/>
        </w:rPr>
        <w:t xml:space="preserve">, </w:t>
      </w:r>
      <w:hyperlink r:id="rId13" w:history="1">
        <w:r w:rsidRPr="00743CAE">
          <w:rPr>
            <w:rStyle w:val="Hyperlink"/>
            <w:sz w:val="20"/>
            <w:szCs w:val="20"/>
          </w:rPr>
          <w:t>USDA SNAP Food Restriction Waivers page</w:t>
        </w:r>
      </w:hyperlink>
      <w:r w:rsidRPr="00743CAE">
        <w:rPr>
          <w:sz w:val="20"/>
          <w:szCs w:val="20"/>
        </w:rPr>
        <w:t xml:space="preserve"> </w:t>
      </w:r>
    </w:p>
    <w:p w14:paraId="11E81AD9" w14:textId="77777777" w:rsidR="009D52AA" w:rsidRDefault="009D52AA" w:rsidP="009D52AA">
      <w:pPr>
        <w:pStyle w:val="ListParagraph"/>
        <w:spacing w:after="0"/>
        <w:ind w:left="1080"/>
        <w:rPr>
          <w:sz w:val="20"/>
          <w:szCs w:val="20"/>
        </w:rPr>
      </w:pPr>
    </w:p>
    <w:p w14:paraId="685D59A8" w14:textId="7DE0218B" w:rsidR="002D506E" w:rsidRDefault="002D506E" w:rsidP="002D506E">
      <w:pPr>
        <w:pStyle w:val="ListParagraph"/>
        <w:numPr>
          <w:ilvl w:val="0"/>
          <w:numId w:val="11"/>
        </w:numPr>
        <w:spacing w:after="0"/>
        <w:rPr>
          <w:sz w:val="20"/>
          <w:szCs w:val="20"/>
        </w:rPr>
      </w:pPr>
      <w:r>
        <w:rPr>
          <w:sz w:val="20"/>
          <w:szCs w:val="20"/>
        </w:rPr>
        <w:t>Nutrition Continuing Medical Education</w:t>
      </w:r>
    </w:p>
    <w:p w14:paraId="2936F329" w14:textId="77777777" w:rsidR="00295362" w:rsidRDefault="00295362" w:rsidP="00295362">
      <w:pPr>
        <w:pStyle w:val="ListParagraph"/>
        <w:spacing w:after="0"/>
        <w:ind w:left="1080"/>
        <w:rPr>
          <w:sz w:val="20"/>
          <w:szCs w:val="20"/>
        </w:rPr>
      </w:pPr>
    </w:p>
    <w:p w14:paraId="79FC353F" w14:textId="38478101" w:rsidR="00295362" w:rsidRDefault="00110B65" w:rsidP="00295362">
      <w:pPr>
        <w:pStyle w:val="ListParagraph"/>
        <w:spacing w:after="0"/>
        <w:ind w:left="1080"/>
        <w:rPr>
          <w:sz w:val="20"/>
          <w:szCs w:val="20"/>
        </w:rPr>
      </w:pPr>
      <w:r w:rsidRPr="00110B65">
        <w:rPr>
          <w:sz w:val="20"/>
          <w:szCs w:val="20"/>
        </w:rPr>
        <w:t>Research has revealed physicians in the United States widely lack sufficient education in nutrition, despite the demonstrable links between proper nutrition and improved health outcomes. One area in which nutrition education can be improved for physicians is within state continuing medical education (CME) requirements. Given the disproportionate impact of chronic disease on rural America, improved nutrition education among physicians through CME requirements can directly contribute to improving the health of Americans who live in rural areas.</w:t>
      </w:r>
    </w:p>
    <w:p w14:paraId="36277420" w14:textId="77777777" w:rsidR="00110B65" w:rsidRDefault="00110B65" w:rsidP="00295362">
      <w:pPr>
        <w:pStyle w:val="ListParagraph"/>
        <w:spacing w:after="0"/>
        <w:ind w:left="1080"/>
        <w:rPr>
          <w:sz w:val="20"/>
          <w:szCs w:val="20"/>
        </w:rPr>
      </w:pPr>
    </w:p>
    <w:p w14:paraId="176F16C0" w14:textId="77777777" w:rsidR="00B22891" w:rsidRDefault="00395232" w:rsidP="00295362">
      <w:pPr>
        <w:pStyle w:val="ListParagraph"/>
        <w:spacing w:after="0"/>
        <w:ind w:left="1080"/>
        <w:rPr>
          <w:sz w:val="20"/>
          <w:szCs w:val="20"/>
        </w:rPr>
      </w:pPr>
      <w:r>
        <w:rPr>
          <w:sz w:val="20"/>
          <w:szCs w:val="20"/>
        </w:rPr>
        <w:t>S</w:t>
      </w:r>
      <w:r w:rsidRPr="00395232">
        <w:rPr>
          <w:sz w:val="20"/>
          <w:szCs w:val="20"/>
        </w:rPr>
        <w:t xml:space="preserve">tate to include in application whether a State has a requirement for nutrition to be a component of continuing medical education (CME). This factor will not contribute to a State’s overall points score until the budget period beginning after October 31, 2026. States will have until December 31, 2028 to enact this policy change. </w:t>
      </w:r>
    </w:p>
    <w:p w14:paraId="73790A6A" w14:textId="77777777" w:rsidR="00B22891" w:rsidRDefault="00B22891" w:rsidP="00295362">
      <w:pPr>
        <w:pStyle w:val="ListParagraph"/>
        <w:spacing w:after="0"/>
        <w:ind w:left="1080"/>
        <w:rPr>
          <w:sz w:val="20"/>
          <w:szCs w:val="20"/>
        </w:rPr>
      </w:pPr>
    </w:p>
    <w:p w14:paraId="6C4D79A6" w14:textId="1BC86FE3" w:rsidR="00395232" w:rsidRDefault="00395232" w:rsidP="00295362">
      <w:pPr>
        <w:pStyle w:val="ListParagraph"/>
        <w:spacing w:after="0"/>
        <w:ind w:left="1080"/>
        <w:rPr>
          <w:sz w:val="20"/>
          <w:szCs w:val="20"/>
        </w:rPr>
      </w:pPr>
      <w:r w:rsidRPr="00395232">
        <w:rPr>
          <w:sz w:val="20"/>
          <w:szCs w:val="20"/>
        </w:rPr>
        <w:t xml:space="preserve">Example of qualifying state policies: </w:t>
      </w:r>
      <w:hyperlink r:id="rId14" w:history="1">
        <w:r w:rsidRPr="00136C4F">
          <w:rPr>
            <w:rStyle w:val="Hyperlink"/>
            <w:sz w:val="20"/>
            <w:szCs w:val="20"/>
          </w:rPr>
          <w:t>Louisiana Senate Bill 14</w:t>
        </w:r>
      </w:hyperlink>
      <w:r w:rsidRPr="00395232">
        <w:rPr>
          <w:sz w:val="20"/>
          <w:szCs w:val="20"/>
        </w:rPr>
        <w:t xml:space="preserve">, </w:t>
      </w:r>
      <w:hyperlink r:id="rId15" w:history="1">
        <w:r w:rsidRPr="00136C4F">
          <w:rPr>
            <w:rStyle w:val="Hyperlink"/>
            <w:sz w:val="20"/>
            <w:szCs w:val="20"/>
          </w:rPr>
          <w:t>Texas Senate Bill 25</w:t>
        </w:r>
      </w:hyperlink>
    </w:p>
    <w:p w14:paraId="14B6E2BE" w14:textId="77777777" w:rsidR="00395232" w:rsidRDefault="00395232" w:rsidP="00295362">
      <w:pPr>
        <w:pStyle w:val="ListParagraph"/>
        <w:spacing w:after="0"/>
        <w:ind w:left="1080"/>
        <w:rPr>
          <w:sz w:val="20"/>
          <w:szCs w:val="20"/>
        </w:rPr>
      </w:pPr>
    </w:p>
    <w:p w14:paraId="3E988371" w14:textId="0DEBB3A0" w:rsidR="00110B65" w:rsidRDefault="00110B65" w:rsidP="00295362">
      <w:pPr>
        <w:pStyle w:val="ListParagraph"/>
        <w:spacing w:after="0"/>
        <w:ind w:left="1080"/>
        <w:rPr>
          <w:sz w:val="20"/>
          <w:szCs w:val="20"/>
        </w:rPr>
      </w:pPr>
      <w:r w:rsidRPr="00110B65">
        <w:rPr>
          <w:sz w:val="20"/>
          <w:szCs w:val="20"/>
        </w:rPr>
        <w:t xml:space="preserve">Sources: </w:t>
      </w:r>
      <w:hyperlink r:id="rId16" w:history="1">
        <w:r w:rsidRPr="0077291E">
          <w:rPr>
            <w:rStyle w:val="Hyperlink"/>
            <w:sz w:val="20"/>
            <w:szCs w:val="20"/>
          </w:rPr>
          <w:t>Rural Health Disparities</w:t>
        </w:r>
      </w:hyperlink>
      <w:r w:rsidRPr="00110B65">
        <w:rPr>
          <w:sz w:val="20"/>
          <w:szCs w:val="20"/>
        </w:rPr>
        <w:t xml:space="preserve">, </w:t>
      </w:r>
      <w:hyperlink r:id="rId17" w:history="1">
        <w:r w:rsidRPr="00743CAE">
          <w:rPr>
            <w:rStyle w:val="Hyperlink"/>
            <w:sz w:val="20"/>
            <w:szCs w:val="20"/>
          </w:rPr>
          <w:t>CDC Addressing the Urgent Need for Clinical Nutrition Education in Postgraduate Medical Training: New Programs and Credentialing, Advances in Nutrition</w:t>
        </w:r>
      </w:hyperlink>
    </w:p>
    <w:p w14:paraId="4AE7BC54" w14:textId="77777777" w:rsidR="00295362" w:rsidRDefault="00295362" w:rsidP="00295362">
      <w:pPr>
        <w:pStyle w:val="ListParagraph"/>
        <w:spacing w:after="0"/>
        <w:ind w:left="1080"/>
        <w:rPr>
          <w:sz w:val="20"/>
          <w:szCs w:val="20"/>
        </w:rPr>
      </w:pPr>
    </w:p>
    <w:p w14:paraId="64DC78D4" w14:textId="351C6856" w:rsidR="002D506E" w:rsidRDefault="002D506E" w:rsidP="002D506E">
      <w:pPr>
        <w:pStyle w:val="ListParagraph"/>
        <w:numPr>
          <w:ilvl w:val="0"/>
          <w:numId w:val="11"/>
        </w:numPr>
        <w:spacing w:after="0"/>
        <w:rPr>
          <w:sz w:val="20"/>
          <w:szCs w:val="20"/>
        </w:rPr>
      </w:pPr>
      <w:r>
        <w:rPr>
          <w:sz w:val="20"/>
          <w:szCs w:val="20"/>
        </w:rPr>
        <w:t>Certificate of Need</w:t>
      </w:r>
    </w:p>
    <w:p w14:paraId="37D42BF0" w14:textId="77777777" w:rsidR="00B22891" w:rsidRDefault="00B22891" w:rsidP="00B22891">
      <w:pPr>
        <w:spacing w:after="0"/>
        <w:rPr>
          <w:sz w:val="20"/>
          <w:szCs w:val="20"/>
        </w:rPr>
      </w:pPr>
    </w:p>
    <w:p w14:paraId="6F8D7EF7" w14:textId="101D07C9" w:rsidR="00B21ADE" w:rsidRDefault="008F01EE" w:rsidP="0097327C">
      <w:pPr>
        <w:spacing w:after="0"/>
        <w:ind w:left="1080"/>
        <w:rPr>
          <w:sz w:val="20"/>
          <w:szCs w:val="20"/>
        </w:rPr>
      </w:pPr>
      <w:r w:rsidRPr="008F01EE">
        <w:rPr>
          <w:sz w:val="20"/>
          <w:szCs w:val="20"/>
        </w:rPr>
        <w:t>Certificate of Need is an additional expense and burden on rural facilities. In addition to increasing cost and decreasing choice and competition, CON laws tend to favor established providers, creating a barrier to new entrants, thus preventing innovation and growth in rural settings. Eliminating or loosening CON laws allows providers to establish new facilities in underserved rural regions without increased burden, addressing the scarcity of local care options.</w:t>
      </w:r>
    </w:p>
    <w:p w14:paraId="72A66C36" w14:textId="77777777" w:rsidR="00AA2ED2" w:rsidRDefault="00AA2ED2" w:rsidP="0097327C">
      <w:pPr>
        <w:spacing w:after="0"/>
        <w:ind w:left="1080"/>
        <w:rPr>
          <w:sz w:val="20"/>
          <w:szCs w:val="20"/>
        </w:rPr>
      </w:pPr>
    </w:p>
    <w:p w14:paraId="08FCD898" w14:textId="7BD65B5A" w:rsidR="00AA2ED2" w:rsidRDefault="00BF7206" w:rsidP="0097327C">
      <w:pPr>
        <w:spacing w:after="0"/>
        <w:ind w:left="1080"/>
        <w:rPr>
          <w:sz w:val="20"/>
          <w:szCs w:val="20"/>
        </w:rPr>
      </w:pPr>
      <w:hyperlink r:id="rId18" w:history="1">
        <w:r w:rsidRPr="00BF7206">
          <w:rPr>
            <w:rStyle w:val="Hyperlink"/>
            <w:sz w:val="20"/>
            <w:szCs w:val="20"/>
          </w:rPr>
          <w:t>A Policymaking Playbook for Certificate of Need Repeal: Ranking Certificate of Needs Laws in All 50 States</w:t>
        </w:r>
      </w:hyperlink>
      <w:r w:rsidR="007A57F6">
        <w:rPr>
          <w:sz w:val="20"/>
          <w:szCs w:val="20"/>
        </w:rPr>
        <w:t xml:space="preserve"> is a report created by Cicero Institute revieing all relevant statutes in all 50 States as of January 1, 2024. </w:t>
      </w:r>
    </w:p>
    <w:p w14:paraId="3A0FF17F" w14:textId="77777777" w:rsidR="00875F7A" w:rsidRDefault="00875F7A" w:rsidP="0097327C">
      <w:pPr>
        <w:spacing w:after="0"/>
        <w:ind w:left="1080"/>
        <w:rPr>
          <w:sz w:val="20"/>
          <w:szCs w:val="20"/>
        </w:rPr>
      </w:pPr>
    </w:p>
    <w:p w14:paraId="59931607" w14:textId="404FA653" w:rsidR="00875F7A" w:rsidRDefault="00875F7A" w:rsidP="0097327C">
      <w:pPr>
        <w:spacing w:after="0"/>
        <w:ind w:left="1080"/>
        <w:rPr>
          <w:sz w:val="20"/>
          <w:szCs w:val="20"/>
        </w:rPr>
      </w:pPr>
      <w:r w:rsidRPr="00875F7A">
        <w:rPr>
          <w:sz w:val="20"/>
          <w:szCs w:val="20"/>
        </w:rPr>
        <w:t>Report ranks each State CON laws from least to most restrictive, categorizing by nine facility types with CON restrictions: medical inpatient, medical outpatient, behavioral inpatient, behavioral outpatient, long-term care facilities, day services, ancillaries, imaging, and other. Report assigned points pursuant to each CON or CON-equivalent barrier present across facility types in that State’s statutes on a 100-point basis. The most restrictive States are burdened with 100 points, reflecting CON barriers in every category measured. Meanwhile, the States with 0 points do not have any CON or CON-equivalent statutes limiting market entry in the measured categories.</w:t>
      </w:r>
    </w:p>
    <w:p w14:paraId="743F2273" w14:textId="77777777" w:rsidR="00B21ADE" w:rsidRDefault="00B21ADE" w:rsidP="0097327C">
      <w:pPr>
        <w:spacing w:after="0"/>
        <w:ind w:left="1080"/>
        <w:rPr>
          <w:sz w:val="20"/>
          <w:szCs w:val="20"/>
        </w:rPr>
      </w:pPr>
    </w:p>
    <w:p w14:paraId="3276061A" w14:textId="6B17DF86" w:rsidR="00B21ADE" w:rsidRDefault="00B21ADE" w:rsidP="0097327C">
      <w:pPr>
        <w:spacing w:after="0"/>
        <w:ind w:left="1080"/>
        <w:rPr>
          <w:sz w:val="20"/>
          <w:szCs w:val="20"/>
        </w:rPr>
      </w:pPr>
      <w:r>
        <w:rPr>
          <w:sz w:val="20"/>
          <w:szCs w:val="20"/>
        </w:rPr>
        <w:t>Sources:</w:t>
      </w:r>
      <w:r w:rsidR="00F02A7B">
        <w:rPr>
          <w:sz w:val="20"/>
          <w:szCs w:val="20"/>
        </w:rPr>
        <w:t xml:space="preserve"> </w:t>
      </w:r>
      <w:hyperlink r:id="rId19" w:history="1">
        <w:r w:rsidR="00F02A7B" w:rsidRPr="00C26446">
          <w:rPr>
            <w:rStyle w:val="Hyperlink"/>
            <w:sz w:val="20"/>
            <w:szCs w:val="20"/>
          </w:rPr>
          <w:t>Certificate of Need Laws in Health Care: Past, Present, and Future,</w:t>
        </w:r>
      </w:hyperlink>
      <w:r w:rsidR="00C26446">
        <w:rPr>
          <w:sz w:val="20"/>
          <w:szCs w:val="20"/>
        </w:rPr>
        <w:t xml:space="preserve"> </w:t>
      </w:r>
      <w:hyperlink r:id="rId20" w:anchor="2392643287-295791688" w:history="1">
        <w:r w:rsidR="00C26446" w:rsidRPr="006F483D">
          <w:rPr>
            <w:rStyle w:val="Hyperlink"/>
            <w:sz w:val="20"/>
            <w:szCs w:val="20"/>
          </w:rPr>
          <w:t>Certificate-of-Need Laws: How They Affect Healthcare Access, Quality, and Cost</w:t>
        </w:r>
      </w:hyperlink>
      <w:r w:rsidR="00C26446">
        <w:rPr>
          <w:sz w:val="20"/>
          <w:szCs w:val="20"/>
        </w:rPr>
        <w:t xml:space="preserve">, </w:t>
      </w:r>
    </w:p>
    <w:p w14:paraId="2ED46A25" w14:textId="77777777" w:rsidR="00B22891" w:rsidRPr="00B22891" w:rsidRDefault="00B22891" w:rsidP="00B22891">
      <w:pPr>
        <w:spacing w:after="0"/>
        <w:rPr>
          <w:sz w:val="20"/>
          <w:szCs w:val="20"/>
        </w:rPr>
      </w:pPr>
    </w:p>
    <w:p w14:paraId="0645EE11" w14:textId="0711BED4" w:rsidR="002D506E" w:rsidRDefault="002D506E" w:rsidP="002D506E">
      <w:pPr>
        <w:pStyle w:val="ListParagraph"/>
        <w:numPr>
          <w:ilvl w:val="0"/>
          <w:numId w:val="11"/>
        </w:numPr>
        <w:spacing w:after="0"/>
        <w:rPr>
          <w:sz w:val="20"/>
          <w:szCs w:val="20"/>
        </w:rPr>
      </w:pPr>
      <w:r>
        <w:rPr>
          <w:sz w:val="20"/>
          <w:szCs w:val="20"/>
        </w:rPr>
        <w:t>Licensure compacts</w:t>
      </w:r>
    </w:p>
    <w:p w14:paraId="598B3E4B" w14:textId="77777777" w:rsidR="00B22891" w:rsidRDefault="00B22891" w:rsidP="00B22891">
      <w:pPr>
        <w:spacing w:after="0"/>
        <w:rPr>
          <w:sz w:val="20"/>
          <w:szCs w:val="20"/>
        </w:rPr>
      </w:pPr>
    </w:p>
    <w:p w14:paraId="44D87B22" w14:textId="7600F7D2" w:rsidR="000067C2" w:rsidRDefault="00395B85" w:rsidP="000067C2">
      <w:pPr>
        <w:spacing w:after="0"/>
        <w:ind w:left="1080"/>
        <w:rPr>
          <w:sz w:val="20"/>
          <w:szCs w:val="20"/>
        </w:rPr>
      </w:pPr>
      <w:r w:rsidRPr="00395B85">
        <w:rPr>
          <w:sz w:val="20"/>
          <w:szCs w:val="20"/>
        </w:rPr>
        <w:t>Compared to non-rural areas, rural areas have more limited access to health care professionals. As mentioned previously, the per capita supply of health professionals is lower in rural areas compared to urban areas. By providing clinicians with the opportunity to serve patients across State borders, licensure compacts increase the supply of accessible rural health providers. This also increases the reach and effectiveness of telehealth in enhancing rural access.</w:t>
      </w:r>
    </w:p>
    <w:p w14:paraId="3876AE7E" w14:textId="77777777" w:rsidR="000067C2" w:rsidRDefault="000067C2" w:rsidP="000067C2">
      <w:pPr>
        <w:spacing w:after="0"/>
        <w:ind w:left="1080"/>
        <w:rPr>
          <w:sz w:val="20"/>
          <w:szCs w:val="20"/>
        </w:rPr>
      </w:pPr>
    </w:p>
    <w:p w14:paraId="2072E52E" w14:textId="77777777" w:rsidR="00A076FA" w:rsidRDefault="00727CF7" w:rsidP="00526E78">
      <w:pPr>
        <w:pStyle w:val="ListParagraph"/>
        <w:numPr>
          <w:ilvl w:val="0"/>
          <w:numId w:val="14"/>
        </w:numPr>
        <w:spacing w:after="0"/>
        <w:rPr>
          <w:sz w:val="20"/>
          <w:szCs w:val="20"/>
        </w:rPr>
      </w:pPr>
      <w:r w:rsidRPr="00677F52">
        <w:rPr>
          <w:sz w:val="20"/>
          <w:szCs w:val="20"/>
        </w:rPr>
        <w:t>For Physician Score</w:t>
      </w:r>
      <w:r w:rsidR="001C3218">
        <w:rPr>
          <w:sz w:val="20"/>
          <w:szCs w:val="20"/>
        </w:rPr>
        <w:t xml:space="preserve">: </w:t>
      </w:r>
      <w:r w:rsidRPr="00677F52">
        <w:rPr>
          <w:sz w:val="20"/>
          <w:szCs w:val="20"/>
        </w:rPr>
        <w:t>State participation in the Medical Licensure Compact, which covers physicians who hold an MD (Doctor of Medicine) or DO (Doctor of Osteopathic Medicine) degree</w:t>
      </w:r>
      <w:r w:rsidR="00526E78">
        <w:rPr>
          <w:sz w:val="20"/>
          <w:szCs w:val="20"/>
        </w:rPr>
        <w:t xml:space="preserve"> (Source: Interstate </w:t>
      </w:r>
      <w:r w:rsidRPr="00526E78">
        <w:rPr>
          <w:sz w:val="20"/>
          <w:szCs w:val="20"/>
        </w:rPr>
        <w:t xml:space="preserve">Medical Licensure Compact. (2025). U.S. State Participation in the Compact. Available at </w:t>
      </w:r>
      <w:hyperlink r:id="rId21" w:history="1">
        <w:r w:rsidRPr="00A076FA">
          <w:rPr>
            <w:rStyle w:val="Hyperlink"/>
            <w:sz w:val="20"/>
            <w:szCs w:val="20"/>
          </w:rPr>
          <w:t>Interstate Medical Licensure Compact</w:t>
        </w:r>
      </w:hyperlink>
      <w:r w:rsidRPr="00526E78">
        <w:rPr>
          <w:sz w:val="20"/>
          <w:szCs w:val="20"/>
        </w:rPr>
        <w:t xml:space="preserve"> (includes links to primary State legislative sources)</w:t>
      </w:r>
    </w:p>
    <w:p w14:paraId="7BD0B654" w14:textId="434D3264" w:rsidR="00727CF7" w:rsidRDefault="00727CF7" w:rsidP="00A076FA">
      <w:pPr>
        <w:pStyle w:val="ListParagraph"/>
        <w:numPr>
          <w:ilvl w:val="1"/>
          <w:numId w:val="14"/>
        </w:numPr>
        <w:spacing w:after="0"/>
        <w:rPr>
          <w:sz w:val="20"/>
          <w:szCs w:val="20"/>
        </w:rPr>
      </w:pPr>
      <w:r w:rsidRPr="00526E78">
        <w:rPr>
          <w:sz w:val="20"/>
          <w:szCs w:val="20"/>
        </w:rPr>
        <w:t>The Interstate Medical Licensure Compact is an agreement among 40 participating U.S. States, the District of Columbia and the Territory of Guam to work together to significantly streamline the licensing process for physicians who want to practice in multiple States</w:t>
      </w:r>
      <w:r w:rsidR="00CC357C">
        <w:rPr>
          <w:sz w:val="20"/>
          <w:szCs w:val="20"/>
        </w:rPr>
        <w:t xml:space="preserve">. </w:t>
      </w:r>
      <w:r w:rsidRPr="00526E78">
        <w:rPr>
          <w:sz w:val="20"/>
          <w:szCs w:val="20"/>
        </w:rPr>
        <w:t>The Interstate Medical Licensure Commission serves as an independent coordinating organization that administers the Compact on the States’ behalf. The Commission is made up of representatives from each participating Compact State. Last updated July 2025</w:t>
      </w:r>
      <w:r w:rsidR="00CC357C">
        <w:rPr>
          <w:sz w:val="20"/>
          <w:szCs w:val="20"/>
        </w:rPr>
        <w:t>.</w:t>
      </w:r>
    </w:p>
    <w:p w14:paraId="7EB0E1C7" w14:textId="43F46028" w:rsidR="00E87595" w:rsidRPr="00E87595" w:rsidRDefault="00E87595" w:rsidP="00E87595">
      <w:pPr>
        <w:spacing w:after="0"/>
        <w:ind w:left="1440"/>
        <w:rPr>
          <w:sz w:val="20"/>
          <w:szCs w:val="20"/>
        </w:rPr>
      </w:pPr>
    </w:p>
    <w:p w14:paraId="7ACF8C41" w14:textId="77777777" w:rsidR="000922ED" w:rsidRDefault="00727CF7" w:rsidP="00677F52">
      <w:pPr>
        <w:pStyle w:val="ListParagraph"/>
        <w:numPr>
          <w:ilvl w:val="0"/>
          <w:numId w:val="14"/>
        </w:numPr>
        <w:spacing w:after="0"/>
        <w:rPr>
          <w:sz w:val="20"/>
          <w:szCs w:val="20"/>
        </w:rPr>
      </w:pPr>
      <w:r w:rsidRPr="00677F52">
        <w:rPr>
          <w:sz w:val="20"/>
          <w:szCs w:val="20"/>
        </w:rPr>
        <w:t>For Nurse Score</w:t>
      </w:r>
      <w:r w:rsidR="00A076FA">
        <w:rPr>
          <w:sz w:val="20"/>
          <w:szCs w:val="20"/>
        </w:rPr>
        <w:t xml:space="preserve">: </w:t>
      </w:r>
      <w:r w:rsidRPr="00677F52">
        <w:rPr>
          <w:sz w:val="20"/>
          <w:szCs w:val="20"/>
        </w:rPr>
        <w:t>State participation in the Nurse Licensure Compact</w:t>
      </w:r>
      <w:r w:rsidR="00A076FA">
        <w:rPr>
          <w:sz w:val="20"/>
          <w:szCs w:val="20"/>
        </w:rPr>
        <w:t xml:space="preserve"> (</w:t>
      </w:r>
      <w:r w:rsidRPr="00677F52">
        <w:rPr>
          <w:sz w:val="20"/>
          <w:szCs w:val="20"/>
        </w:rPr>
        <w:t xml:space="preserve">Source: National Council of State Boards of Nursing (NCSBN). (2025). </w:t>
      </w:r>
      <w:hyperlink r:id="rId22" w:history="1">
        <w:r w:rsidRPr="000922ED">
          <w:rPr>
            <w:rStyle w:val="Hyperlink"/>
            <w:sz w:val="20"/>
            <w:szCs w:val="20"/>
          </w:rPr>
          <w:t>NLC Nurse Licensure Compact</w:t>
        </w:r>
      </w:hyperlink>
    </w:p>
    <w:p w14:paraId="10EFB34C" w14:textId="063B23F1" w:rsidR="00727CF7" w:rsidRDefault="00727CF7" w:rsidP="000922ED">
      <w:pPr>
        <w:pStyle w:val="ListParagraph"/>
        <w:numPr>
          <w:ilvl w:val="1"/>
          <w:numId w:val="14"/>
        </w:numPr>
        <w:spacing w:after="0"/>
        <w:rPr>
          <w:sz w:val="20"/>
          <w:szCs w:val="20"/>
        </w:rPr>
      </w:pPr>
      <w:r w:rsidRPr="00677F52">
        <w:rPr>
          <w:sz w:val="20"/>
          <w:szCs w:val="20"/>
        </w:rPr>
        <w:t>The Interstate Commission of Nurse Licensure Compact Administrators (ICNLCA) facilitates cross-border nursing practice through the implementation of the nationally recognized multistate license via the Nurse Licensure Compact (NLC)</w:t>
      </w:r>
      <w:r w:rsidRPr="00677F52">
        <w:rPr>
          <w:sz w:val="20"/>
          <w:szCs w:val="20"/>
        </w:rPr>
        <w:br/>
        <w:t>The NLC enables registered nurses (RNs) and licensed practical/vocational nurses (LPN/VNs) to hold one multistate license, with the authority to practice in person or via telehealth in both their home State and other NLC states</w:t>
      </w:r>
      <w:r w:rsidRPr="00677F52">
        <w:rPr>
          <w:sz w:val="20"/>
          <w:szCs w:val="20"/>
        </w:rPr>
        <w:br/>
        <w:t>In FY24, 42 jurisdictions were members of the NLC</w:t>
      </w:r>
      <w:r w:rsidR="00CC357C">
        <w:rPr>
          <w:sz w:val="20"/>
          <w:szCs w:val="20"/>
        </w:rPr>
        <w:t>.</w:t>
      </w:r>
    </w:p>
    <w:p w14:paraId="282D3818" w14:textId="77777777" w:rsidR="00E87595" w:rsidRPr="00677F52" w:rsidRDefault="00E87595" w:rsidP="00E87595">
      <w:pPr>
        <w:pStyle w:val="ListParagraph"/>
        <w:spacing w:after="0"/>
        <w:ind w:left="1800"/>
        <w:rPr>
          <w:sz w:val="20"/>
          <w:szCs w:val="20"/>
        </w:rPr>
      </w:pPr>
    </w:p>
    <w:p w14:paraId="63C42FB2" w14:textId="77777777" w:rsidR="00AB0522" w:rsidRDefault="00727CF7" w:rsidP="00677F52">
      <w:pPr>
        <w:pStyle w:val="ListParagraph"/>
        <w:numPr>
          <w:ilvl w:val="0"/>
          <w:numId w:val="14"/>
        </w:numPr>
        <w:spacing w:after="0"/>
        <w:rPr>
          <w:sz w:val="20"/>
          <w:szCs w:val="20"/>
        </w:rPr>
      </w:pPr>
      <w:r w:rsidRPr="00677F52">
        <w:rPr>
          <w:sz w:val="20"/>
          <w:szCs w:val="20"/>
        </w:rPr>
        <w:t>For EMS Score</w:t>
      </w:r>
      <w:r w:rsidR="000922ED">
        <w:rPr>
          <w:sz w:val="20"/>
          <w:szCs w:val="20"/>
        </w:rPr>
        <w:t xml:space="preserve">: </w:t>
      </w:r>
      <w:r w:rsidRPr="00677F52">
        <w:rPr>
          <w:sz w:val="20"/>
          <w:szCs w:val="20"/>
        </w:rPr>
        <w:t>Compact Member States that have legislatively unified: EMS Personnel Licensure Standards, Background Checks, and Public Protection and Investigation Standards under the EMS Compact</w:t>
      </w:r>
      <w:r w:rsidR="00E87595">
        <w:rPr>
          <w:sz w:val="20"/>
          <w:szCs w:val="20"/>
        </w:rPr>
        <w:t xml:space="preserve"> (</w:t>
      </w:r>
      <w:r w:rsidRPr="00677F52">
        <w:rPr>
          <w:sz w:val="20"/>
          <w:szCs w:val="20"/>
        </w:rPr>
        <w:t xml:space="preserve">Source: </w:t>
      </w:r>
      <w:hyperlink r:id="rId23" w:history="1">
        <w:r w:rsidRPr="00AB0522">
          <w:rPr>
            <w:rStyle w:val="Hyperlink"/>
            <w:sz w:val="20"/>
            <w:szCs w:val="20"/>
          </w:rPr>
          <w:t>The EMS Compact</w:t>
        </w:r>
      </w:hyperlink>
      <w:r w:rsidRPr="00677F52">
        <w:rPr>
          <w:sz w:val="20"/>
          <w:szCs w:val="20"/>
        </w:rPr>
        <w:t>. (2025). The United States Emergency Medical Services Compact</w:t>
      </w:r>
    </w:p>
    <w:p w14:paraId="56BE2AF9" w14:textId="0474FC96" w:rsidR="00727CF7" w:rsidRDefault="00727CF7" w:rsidP="00AB0522">
      <w:pPr>
        <w:pStyle w:val="ListParagraph"/>
        <w:numPr>
          <w:ilvl w:val="1"/>
          <w:numId w:val="14"/>
        </w:numPr>
        <w:spacing w:after="0"/>
        <w:rPr>
          <w:sz w:val="20"/>
          <w:szCs w:val="20"/>
        </w:rPr>
      </w:pPr>
      <w:r w:rsidRPr="00677F52">
        <w:rPr>
          <w:sz w:val="20"/>
          <w:szCs w:val="20"/>
        </w:rPr>
        <w:t>The EMS Compact is a State law that functions as a contractual agreement between States and State law. It is a legal agreement enacted by State legislation in 25 States</w:t>
      </w:r>
      <w:r w:rsidRPr="00677F52">
        <w:rPr>
          <w:sz w:val="20"/>
          <w:szCs w:val="20"/>
        </w:rPr>
        <w:br/>
        <w:t xml:space="preserve">The Compact is governed by the Interstate Commission for EMS Personnel Practice, a governmental body established under the </w:t>
      </w:r>
      <w:hyperlink r:id="rId24" w:anchor="download-model-legislation" w:history="1">
        <w:r w:rsidRPr="00AB0522">
          <w:rPr>
            <w:rStyle w:val="Hyperlink"/>
            <w:sz w:val="20"/>
            <w:szCs w:val="20"/>
          </w:rPr>
          <w:t>model legislation</w:t>
        </w:r>
      </w:hyperlink>
      <w:r w:rsidRPr="00677F52">
        <w:rPr>
          <w:sz w:val="20"/>
          <w:szCs w:val="20"/>
        </w:rPr>
        <w:t xml:space="preserve"> enacted by each member State. Website updated 2025</w:t>
      </w:r>
      <w:r w:rsidR="00CC357C">
        <w:rPr>
          <w:sz w:val="20"/>
          <w:szCs w:val="20"/>
        </w:rPr>
        <w:t>.</w:t>
      </w:r>
    </w:p>
    <w:p w14:paraId="4B3DDBC7" w14:textId="77777777" w:rsidR="00AB0522" w:rsidRPr="00677F52" w:rsidRDefault="00AB0522" w:rsidP="00AB0522">
      <w:pPr>
        <w:pStyle w:val="ListParagraph"/>
        <w:spacing w:after="0"/>
        <w:ind w:left="1800"/>
        <w:rPr>
          <w:sz w:val="20"/>
          <w:szCs w:val="20"/>
        </w:rPr>
      </w:pPr>
    </w:p>
    <w:p w14:paraId="296D2B18" w14:textId="77777777" w:rsidR="000605DE" w:rsidRDefault="00727CF7" w:rsidP="00677F52">
      <w:pPr>
        <w:pStyle w:val="ListParagraph"/>
        <w:numPr>
          <w:ilvl w:val="0"/>
          <w:numId w:val="14"/>
        </w:numPr>
        <w:spacing w:after="0"/>
        <w:rPr>
          <w:sz w:val="20"/>
          <w:szCs w:val="20"/>
        </w:rPr>
      </w:pPr>
      <w:r w:rsidRPr="00677F52">
        <w:rPr>
          <w:sz w:val="20"/>
          <w:szCs w:val="20"/>
        </w:rPr>
        <w:t>For Psychology Score</w:t>
      </w:r>
      <w:r w:rsidR="00AB0522">
        <w:rPr>
          <w:sz w:val="20"/>
          <w:szCs w:val="20"/>
        </w:rPr>
        <w:t xml:space="preserve">: </w:t>
      </w:r>
      <w:r w:rsidRPr="00677F52">
        <w:rPr>
          <w:sz w:val="20"/>
          <w:szCs w:val="20"/>
        </w:rPr>
        <w:t>States participating in the Psychology Interjurisdictional Compact (PSYPACT), States with enacted PSYPACT legislation, States with PSYPACT legislation introduced, and Non-PSYPACT States/States with no active legislation</w:t>
      </w:r>
      <w:r w:rsidRPr="00677F52">
        <w:rPr>
          <w:sz w:val="20"/>
          <w:szCs w:val="20"/>
        </w:rPr>
        <w:br/>
        <w:t xml:space="preserve">Source: PSYPACT. (2025). </w:t>
      </w:r>
      <w:hyperlink r:id="rId25" w:history="1">
        <w:r w:rsidRPr="000605DE">
          <w:rPr>
            <w:rStyle w:val="Hyperlink"/>
            <w:sz w:val="20"/>
            <w:szCs w:val="20"/>
          </w:rPr>
          <w:t>PSYPACT Map</w:t>
        </w:r>
      </w:hyperlink>
      <w:r w:rsidRPr="00677F52">
        <w:rPr>
          <w:sz w:val="20"/>
          <w:szCs w:val="20"/>
        </w:rPr>
        <w:t>. (Includes list of primary State sources)</w:t>
      </w:r>
    </w:p>
    <w:p w14:paraId="58836D6B" w14:textId="170ABA6C" w:rsidR="00727CF7" w:rsidRDefault="00727CF7" w:rsidP="000605DE">
      <w:pPr>
        <w:pStyle w:val="ListParagraph"/>
        <w:numPr>
          <w:ilvl w:val="1"/>
          <w:numId w:val="14"/>
        </w:numPr>
        <w:spacing w:after="0"/>
        <w:rPr>
          <w:sz w:val="20"/>
          <w:szCs w:val="20"/>
        </w:rPr>
      </w:pPr>
      <w:r w:rsidRPr="00677F52">
        <w:rPr>
          <w:sz w:val="20"/>
          <w:szCs w:val="20"/>
        </w:rPr>
        <w:t>The Psychology Interjurisdictional Compact (PSYPACT®) is an interstate compact designed to facilitate the practice of telepsychology and the temporary in-person, face-to-face practice of psychology across State boundaries</w:t>
      </w:r>
      <w:r w:rsidR="00652E0A">
        <w:rPr>
          <w:sz w:val="20"/>
          <w:szCs w:val="20"/>
        </w:rPr>
        <w:t xml:space="preserve">. </w:t>
      </w:r>
      <w:r w:rsidRPr="00677F52">
        <w:rPr>
          <w:sz w:val="20"/>
          <w:szCs w:val="20"/>
        </w:rPr>
        <w:t>The PSYPACT Commission is the governing body of PSYPACT responsible for creating and finalizing the Bylaws and Rules and Regulations</w:t>
      </w:r>
      <w:r w:rsidR="00652E0A">
        <w:rPr>
          <w:sz w:val="20"/>
          <w:szCs w:val="20"/>
        </w:rPr>
        <w:t xml:space="preserve">. </w:t>
      </w:r>
      <w:r w:rsidRPr="00677F52">
        <w:rPr>
          <w:sz w:val="20"/>
          <w:szCs w:val="20"/>
        </w:rPr>
        <w:t>The Commission is also responsible for granting psychologists the authority to practice telepsychology and temporary in-person, face-to-face practice of psychology across State boundaries</w:t>
      </w:r>
      <w:r w:rsidR="00652E0A">
        <w:rPr>
          <w:sz w:val="20"/>
          <w:szCs w:val="20"/>
        </w:rPr>
        <w:t xml:space="preserve">. </w:t>
      </w:r>
      <w:r w:rsidRPr="00677F52">
        <w:rPr>
          <w:sz w:val="20"/>
          <w:szCs w:val="20"/>
        </w:rPr>
        <w:t>Data updated in 2025</w:t>
      </w:r>
      <w:r w:rsidR="00CC357C">
        <w:rPr>
          <w:sz w:val="20"/>
          <w:szCs w:val="20"/>
        </w:rPr>
        <w:t>.</w:t>
      </w:r>
    </w:p>
    <w:p w14:paraId="5311721B" w14:textId="77777777" w:rsidR="00652E0A" w:rsidRPr="00677F52" w:rsidRDefault="00652E0A" w:rsidP="00652E0A">
      <w:pPr>
        <w:pStyle w:val="ListParagraph"/>
        <w:spacing w:after="0"/>
        <w:ind w:left="1800"/>
        <w:rPr>
          <w:sz w:val="20"/>
          <w:szCs w:val="20"/>
        </w:rPr>
      </w:pPr>
    </w:p>
    <w:p w14:paraId="725D9476" w14:textId="77777777" w:rsidR="00C07B0D" w:rsidRDefault="00727CF7" w:rsidP="00677F52">
      <w:pPr>
        <w:pStyle w:val="ListParagraph"/>
        <w:numPr>
          <w:ilvl w:val="0"/>
          <w:numId w:val="14"/>
        </w:numPr>
        <w:spacing w:after="0"/>
        <w:rPr>
          <w:sz w:val="20"/>
          <w:szCs w:val="20"/>
        </w:rPr>
      </w:pPr>
      <w:r w:rsidRPr="00677F52">
        <w:rPr>
          <w:sz w:val="20"/>
          <w:szCs w:val="20"/>
        </w:rPr>
        <w:t>For Physician Assistant Score</w:t>
      </w:r>
      <w:r w:rsidR="00652E0A">
        <w:rPr>
          <w:sz w:val="20"/>
          <w:szCs w:val="20"/>
        </w:rPr>
        <w:t xml:space="preserve">: </w:t>
      </w:r>
      <w:r w:rsidRPr="00677F52">
        <w:rPr>
          <w:sz w:val="20"/>
          <w:szCs w:val="20"/>
        </w:rPr>
        <w:t>States participating as members in the Physician Assistants (PA) Compact, States with legislation filed to become members, and non-member States with no active legislation</w:t>
      </w:r>
      <w:r w:rsidR="00C07B0D">
        <w:rPr>
          <w:sz w:val="20"/>
          <w:szCs w:val="20"/>
        </w:rPr>
        <w:t xml:space="preserve"> (</w:t>
      </w:r>
      <w:r w:rsidRPr="00677F52">
        <w:rPr>
          <w:sz w:val="20"/>
          <w:szCs w:val="20"/>
        </w:rPr>
        <w:t xml:space="preserve">Source: </w:t>
      </w:r>
      <w:hyperlink r:id="rId26" w:anchor="compact" w:history="1">
        <w:r w:rsidRPr="00C07B0D">
          <w:rPr>
            <w:rStyle w:val="Hyperlink"/>
            <w:sz w:val="20"/>
            <w:szCs w:val="20"/>
          </w:rPr>
          <w:t>PA Compact</w:t>
        </w:r>
      </w:hyperlink>
      <w:r w:rsidRPr="00677F52">
        <w:rPr>
          <w:sz w:val="20"/>
          <w:szCs w:val="20"/>
        </w:rPr>
        <w:t>. (2025). PA Licensure Compact</w:t>
      </w:r>
    </w:p>
    <w:p w14:paraId="45098F57" w14:textId="119E6FFE" w:rsidR="00727CF7" w:rsidRPr="00677F52" w:rsidRDefault="00727CF7" w:rsidP="00C07B0D">
      <w:pPr>
        <w:pStyle w:val="ListParagraph"/>
        <w:numPr>
          <w:ilvl w:val="1"/>
          <w:numId w:val="14"/>
        </w:numPr>
        <w:spacing w:after="0"/>
        <w:rPr>
          <w:sz w:val="20"/>
          <w:szCs w:val="20"/>
        </w:rPr>
      </w:pPr>
      <w:r w:rsidRPr="00677F52">
        <w:rPr>
          <w:sz w:val="20"/>
          <w:szCs w:val="20"/>
        </w:rPr>
        <w:t>The Physician Assistants Compact is an interstate occupational licensure compact for physician assistants (PAs)</w:t>
      </w:r>
      <w:r w:rsidR="00C07B0D">
        <w:rPr>
          <w:sz w:val="20"/>
          <w:szCs w:val="20"/>
        </w:rPr>
        <w:t xml:space="preserve">. </w:t>
      </w:r>
      <w:r w:rsidRPr="00677F52">
        <w:rPr>
          <w:sz w:val="20"/>
          <w:szCs w:val="20"/>
        </w:rPr>
        <w:t>The compact facilitates multistate practice for PAs, improves health care access for patients, and enhances public protection</w:t>
      </w:r>
      <w:r w:rsidRPr="00677F52">
        <w:rPr>
          <w:sz w:val="20"/>
          <w:szCs w:val="20"/>
        </w:rPr>
        <w:br/>
        <w:t>Data updated in 2025</w:t>
      </w:r>
      <w:r w:rsidR="00CC357C">
        <w:rPr>
          <w:sz w:val="20"/>
          <w:szCs w:val="20"/>
        </w:rPr>
        <w:t>.</w:t>
      </w:r>
    </w:p>
    <w:p w14:paraId="3D97E5A4" w14:textId="77777777" w:rsidR="000067C2" w:rsidRPr="00B22891" w:rsidRDefault="000067C2" w:rsidP="00B22891">
      <w:pPr>
        <w:spacing w:after="0"/>
        <w:rPr>
          <w:sz w:val="20"/>
          <w:szCs w:val="20"/>
        </w:rPr>
      </w:pPr>
    </w:p>
    <w:p w14:paraId="7EF79AAA" w14:textId="2D4AFDC6" w:rsidR="002D506E" w:rsidRDefault="002D506E" w:rsidP="002D506E">
      <w:pPr>
        <w:pStyle w:val="ListParagraph"/>
        <w:numPr>
          <w:ilvl w:val="0"/>
          <w:numId w:val="11"/>
        </w:numPr>
        <w:spacing w:after="0"/>
        <w:rPr>
          <w:sz w:val="20"/>
          <w:szCs w:val="20"/>
        </w:rPr>
      </w:pPr>
      <w:r>
        <w:rPr>
          <w:sz w:val="20"/>
          <w:szCs w:val="20"/>
        </w:rPr>
        <w:t>Scope of practice</w:t>
      </w:r>
    </w:p>
    <w:p w14:paraId="4272A232" w14:textId="77777777" w:rsidR="00B22891" w:rsidRDefault="00B22891" w:rsidP="00B22891">
      <w:pPr>
        <w:spacing w:after="0"/>
        <w:rPr>
          <w:sz w:val="20"/>
          <w:szCs w:val="20"/>
        </w:rPr>
      </w:pPr>
    </w:p>
    <w:p w14:paraId="2FACFA95" w14:textId="0CA7CF7F" w:rsidR="00AA4C05" w:rsidRDefault="008F2D5A" w:rsidP="00AA4C05">
      <w:pPr>
        <w:spacing w:after="0"/>
        <w:ind w:left="1080"/>
        <w:rPr>
          <w:sz w:val="20"/>
          <w:szCs w:val="20"/>
        </w:rPr>
      </w:pPr>
      <w:r w:rsidRPr="008F2D5A">
        <w:rPr>
          <w:sz w:val="20"/>
          <w:szCs w:val="20"/>
        </w:rPr>
        <w:t>There are less physicians in rural areas, creating barriers to access for rural patients. These physician supply challenges could be mitigated, especially in the context of primary care, by expanding the scope of practice of other clinicians such as nurse practitioners and physician assistants who have training and competency in caring for many of the cases currently limited to physician care. By allowing clinicians to practice at the top of their license, States can increase health service supply. Rural populations will benefit from the preventive health impact of increased primary care options as well as decreased time to wait for appointments.</w:t>
      </w:r>
    </w:p>
    <w:p w14:paraId="7323CA9F" w14:textId="77777777" w:rsidR="00AA4C05" w:rsidRDefault="00AA4C05" w:rsidP="00AA4C05">
      <w:pPr>
        <w:spacing w:after="0"/>
        <w:ind w:left="1080"/>
        <w:rPr>
          <w:sz w:val="20"/>
          <w:szCs w:val="20"/>
        </w:rPr>
      </w:pPr>
    </w:p>
    <w:p w14:paraId="67C05781" w14:textId="0C9C5FAF" w:rsidR="004A575E" w:rsidRPr="004A575E" w:rsidRDefault="00AA4C05" w:rsidP="004A575E">
      <w:pPr>
        <w:pStyle w:val="ListParagraph"/>
        <w:numPr>
          <w:ilvl w:val="0"/>
          <w:numId w:val="15"/>
        </w:numPr>
        <w:spacing w:after="0"/>
        <w:ind w:left="1440"/>
        <w:rPr>
          <w:sz w:val="20"/>
          <w:szCs w:val="20"/>
        </w:rPr>
      </w:pPr>
      <w:r w:rsidRPr="004A575E">
        <w:rPr>
          <w:sz w:val="20"/>
          <w:szCs w:val="20"/>
        </w:rPr>
        <w:t xml:space="preserve">For PAs: The State scope of practice environments for PAs on a scale from Optimal, to Advanced, to Moderate, to Reduced (Source: American Academy of Physician Associates (AAPA). (2025). </w:t>
      </w:r>
      <w:hyperlink r:id="rId27" w:history="1">
        <w:r w:rsidRPr="00592AE8">
          <w:rPr>
            <w:rStyle w:val="Hyperlink"/>
            <w:sz w:val="20"/>
            <w:szCs w:val="20"/>
          </w:rPr>
          <w:t>PA State Practice Environment</w:t>
        </w:r>
      </w:hyperlink>
      <w:r w:rsidRPr="004A575E">
        <w:rPr>
          <w:sz w:val="20"/>
          <w:szCs w:val="20"/>
        </w:rPr>
        <w:t xml:space="preserve">.) Data updated as of July 2025. </w:t>
      </w:r>
    </w:p>
    <w:p w14:paraId="1CA0E7EB" w14:textId="77777777" w:rsidR="004A575E" w:rsidRDefault="004A575E" w:rsidP="004A575E">
      <w:pPr>
        <w:spacing w:after="0"/>
        <w:ind w:left="360"/>
        <w:rPr>
          <w:sz w:val="20"/>
          <w:szCs w:val="20"/>
        </w:rPr>
      </w:pPr>
    </w:p>
    <w:p w14:paraId="7839F53C" w14:textId="584957AE" w:rsidR="00AA4C05" w:rsidRDefault="00AA4C05" w:rsidP="004A575E">
      <w:pPr>
        <w:pStyle w:val="ListParagraph"/>
        <w:numPr>
          <w:ilvl w:val="0"/>
          <w:numId w:val="15"/>
        </w:numPr>
        <w:spacing w:after="0"/>
        <w:ind w:left="1440"/>
        <w:rPr>
          <w:sz w:val="20"/>
          <w:szCs w:val="20"/>
        </w:rPr>
      </w:pPr>
      <w:r w:rsidRPr="004A575E">
        <w:rPr>
          <w:sz w:val="20"/>
          <w:szCs w:val="20"/>
        </w:rPr>
        <w:t xml:space="preserve">For NPs: The State scope of practice environments for NP licensure ranging from full practice, to reduced practice, to restricted practice (Source: American Association of Nurse Practitioners (AANP). (2024). </w:t>
      </w:r>
      <w:hyperlink r:id="rId28" w:history="1">
        <w:r w:rsidRPr="001A044C">
          <w:rPr>
            <w:rStyle w:val="Hyperlink"/>
            <w:sz w:val="20"/>
            <w:szCs w:val="20"/>
          </w:rPr>
          <w:t>State Practice Environment</w:t>
        </w:r>
      </w:hyperlink>
      <w:r w:rsidRPr="004A575E">
        <w:rPr>
          <w:sz w:val="20"/>
          <w:szCs w:val="20"/>
        </w:rPr>
        <w:t>). Data updated as of October 2024. For Pharmacists: Variation in pharmacist scope of practice and ability to operate independently by</w:t>
      </w:r>
    </w:p>
    <w:p w14:paraId="5F32CFCC" w14:textId="77777777" w:rsidR="00D16DB1" w:rsidRPr="00D16DB1" w:rsidRDefault="00D16DB1" w:rsidP="00D16DB1">
      <w:pPr>
        <w:pStyle w:val="ListParagraph"/>
        <w:rPr>
          <w:sz w:val="20"/>
          <w:szCs w:val="20"/>
        </w:rPr>
      </w:pPr>
    </w:p>
    <w:p w14:paraId="51964168" w14:textId="0088B334" w:rsidR="00D16DB1" w:rsidRDefault="00D16DB1" w:rsidP="004A575E">
      <w:pPr>
        <w:pStyle w:val="ListParagraph"/>
        <w:numPr>
          <w:ilvl w:val="0"/>
          <w:numId w:val="15"/>
        </w:numPr>
        <w:spacing w:after="0"/>
        <w:ind w:left="1440"/>
        <w:rPr>
          <w:sz w:val="20"/>
          <w:szCs w:val="20"/>
        </w:rPr>
      </w:pPr>
      <w:r w:rsidRPr="00D16DB1">
        <w:rPr>
          <w:sz w:val="20"/>
          <w:szCs w:val="20"/>
        </w:rPr>
        <w:t xml:space="preserve">For Pharmacists: Variation in pharmacist scope of practice and ability to operate independently by State, scored by classifying State laws based on authority to administer drugs, order and perform laboratory testing, and prescribe drugs or devices as described in the Cicero report (Source: Cicero Institute. (2025). </w:t>
      </w:r>
      <w:hyperlink r:id="rId29" w:history="1">
        <w:r w:rsidRPr="00D16DB1">
          <w:rPr>
            <w:rStyle w:val="Hyperlink"/>
            <w:sz w:val="20"/>
            <w:szCs w:val="20"/>
          </w:rPr>
          <w:t>2025 Policy Strategies for Full Practice Authority</w:t>
        </w:r>
      </w:hyperlink>
      <w:r w:rsidRPr="00D16DB1">
        <w:rPr>
          <w:sz w:val="20"/>
          <w:szCs w:val="20"/>
        </w:rPr>
        <w:t xml:space="preserve">). The report was created by Cicero Institute reviewing all relevant statutes in all 50 States as of August 2025. </w:t>
      </w:r>
    </w:p>
    <w:p w14:paraId="0C581BD6" w14:textId="77777777" w:rsidR="00D16DB1" w:rsidRPr="00D16DB1" w:rsidRDefault="00D16DB1" w:rsidP="00D16DB1">
      <w:pPr>
        <w:pStyle w:val="ListParagraph"/>
        <w:rPr>
          <w:sz w:val="20"/>
          <w:szCs w:val="20"/>
        </w:rPr>
      </w:pPr>
    </w:p>
    <w:p w14:paraId="1CF01BFA" w14:textId="77777777" w:rsidR="00FC213C" w:rsidRDefault="00D16DB1" w:rsidP="00B22891">
      <w:pPr>
        <w:pStyle w:val="ListParagraph"/>
        <w:numPr>
          <w:ilvl w:val="0"/>
          <w:numId w:val="15"/>
        </w:numPr>
        <w:spacing w:after="0"/>
        <w:ind w:left="1440"/>
        <w:rPr>
          <w:sz w:val="20"/>
          <w:szCs w:val="20"/>
        </w:rPr>
      </w:pPr>
      <w:r w:rsidRPr="00D16DB1">
        <w:rPr>
          <w:sz w:val="20"/>
          <w:szCs w:val="20"/>
        </w:rPr>
        <w:t xml:space="preserve">For Dental Hygienists: Variation in Dental Hygiene Scope of Practice by State, categorized by several allowable tasks (Source: Oral Health Workforce Research Center (OHWRC). (2024). </w:t>
      </w:r>
      <w:hyperlink r:id="rId30" w:history="1">
        <w:r w:rsidRPr="00FC213C">
          <w:rPr>
            <w:rStyle w:val="Hyperlink"/>
            <w:sz w:val="20"/>
            <w:szCs w:val="20"/>
          </w:rPr>
          <w:t>Variation in Dental Hygiene Scope of Practice by State</w:t>
        </w:r>
      </w:hyperlink>
      <w:r w:rsidRPr="00D16DB1">
        <w:rPr>
          <w:sz w:val="20"/>
          <w:szCs w:val="20"/>
        </w:rPr>
        <w:t>). Data updated as of November 2024.</w:t>
      </w:r>
    </w:p>
    <w:p w14:paraId="426E049C" w14:textId="77777777" w:rsidR="00FC213C" w:rsidRPr="00FC213C" w:rsidRDefault="00FC213C" w:rsidP="00FC213C">
      <w:pPr>
        <w:pStyle w:val="ListParagraph"/>
        <w:rPr>
          <w:sz w:val="20"/>
          <w:szCs w:val="20"/>
        </w:rPr>
      </w:pPr>
    </w:p>
    <w:p w14:paraId="63C6B1D0" w14:textId="4BF2388F" w:rsidR="008941A5" w:rsidRPr="00FC213C" w:rsidRDefault="00FC213C" w:rsidP="00FC213C">
      <w:pPr>
        <w:pStyle w:val="ListParagraph"/>
        <w:spacing w:after="0"/>
        <w:ind w:left="1440"/>
        <w:rPr>
          <w:sz w:val="20"/>
          <w:szCs w:val="20"/>
        </w:rPr>
      </w:pPr>
      <w:r>
        <w:rPr>
          <w:sz w:val="20"/>
          <w:szCs w:val="20"/>
        </w:rPr>
        <w:t xml:space="preserve">Sources: </w:t>
      </w:r>
      <w:hyperlink r:id="rId31" w:history="1">
        <w:r w:rsidR="008941A5" w:rsidRPr="00FC213C">
          <w:rPr>
            <w:rStyle w:val="Hyperlink"/>
            <w:sz w:val="20"/>
            <w:szCs w:val="20"/>
          </w:rPr>
          <w:t>Reforming America’s Healthcare System Through Choice and Competition—Section 3: Government Healthcare Policies and Their Effect on Competition</w:t>
        </w:r>
      </w:hyperlink>
    </w:p>
    <w:p w14:paraId="1C68C9DB" w14:textId="77777777" w:rsidR="008941A5" w:rsidRPr="00B22891" w:rsidRDefault="008941A5" w:rsidP="00B22891">
      <w:pPr>
        <w:spacing w:after="0"/>
        <w:rPr>
          <w:sz w:val="20"/>
          <w:szCs w:val="20"/>
        </w:rPr>
      </w:pPr>
    </w:p>
    <w:p w14:paraId="787D3350" w14:textId="7DBFCA60" w:rsidR="002D506E" w:rsidRDefault="002D506E" w:rsidP="002D506E">
      <w:pPr>
        <w:pStyle w:val="ListParagraph"/>
        <w:numPr>
          <w:ilvl w:val="0"/>
          <w:numId w:val="11"/>
        </w:numPr>
        <w:spacing w:after="0"/>
        <w:rPr>
          <w:sz w:val="20"/>
          <w:szCs w:val="20"/>
        </w:rPr>
      </w:pPr>
      <w:r>
        <w:rPr>
          <w:sz w:val="20"/>
          <w:szCs w:val="20"/>
        </w:rPr>
        <w:t>Short-term, limited-duration insurance</w:t>
      </w:r>
      <w:r w:rsidR="006340E9">
        <w:rPr>
          <w:sz w:val="20"/>
          <w:szCs w:val="20"/>
        </w:rPr>
        <w:t xml:space="preserve"> (STLDI)</w:t>
      </w:r>
    </w:p>
    <w:p w14:paraId="2AC7A123" w14:textId="77777777" w:rsidR="00285543" w:rsidRDefault="00285543" w:rsidP="00285543">
      <w:pPr>
        <w:spacing w:after="0"/>
        <w:rPr>
          <w:sz w:val="20"/>
          <w:szCs w:val="20"/>
        </w:rPr>
      </w:pPr>
    </w:p>
    <w:p w14:paraId="71DFF89B" w14:textId="77777777" w:rsidR="00285543" w:rsidRDefault="00285543" w:rsidP="00285543">
      <w:pPr>
        <w:spacing w:after="0"/>
        <w:ind w:left="1080"/>
        <w:rPr>
          <w:sz w:val="20"/>
          <w:szCs w:val="20"/>
        </w:rPr>
      </w:pPr>
      <w:r w:rsidRPr="00285543">
        <w:rPr>
          <w:sz w:val="20"/>
          <w:szCs w:val="20"/>
        </w:rPr>
        <w:t>Rural populations consistently have higher uninsurance rates than their urban counterparts.</w:t>
      </w:r>
      <w:r>
        <w:rPr>
          <w:sz w:val="20"/>
          <w:szCs w:val="20"/>
        </w:rPr>
        <w:t xml:space="preserve"> </w:t>
      </w:r>
      <w:r w:rsidRPr="00285543">
        <w:rPr>
          <w:sz w:val="20"/>
          <w:szCs w:val="20"/>
        </w:rPr>
        <w:t xml:space="preserve">Approximately 18% of adults living in nonmetropolitan counties are uninsured, leading to higher costs for patients. Rural adults are also more likely than urban adults to report delayed care due to cost and issues paying medical bills. STLDI plans may offer some rural individuals lower cost short-term coverage options to help address issues associated with being uninsured. </w:t>
      </w:r>
    </w:p>
    <w:p w14:paraId="521D01E3" w14:textId="77777777" w:rsidR="00794A4E" w:rsidRDefault="00794A4E" w:rsidP="00285543">
      <w:pPr>
        <w:spacing w:after="0"/>
        <w:ind w:left="1080"/>
        <w:rPr>
          <w:sz w:val="20"/>
          <w:szCs w:val="20"/>
        </w:rPr>
      </w:pPr>
    </w:p>
    <w:p w14:paraId="70109B94" w14:textId="77777777" w:rsidR="00794A4E" w:rsidRDefault="00794A4E" w:rsidP="00285543">
      <w:pPr>
        <w:spacing w:after="0"/>
        <w:ind w:left="1080"/>
        <w:rPr>
          <w:sz w:val="20"/>
          <w:szCs w:val="20"/>
        </w:rPr>
      </w:pPr>
      <w:r w:rsidRPr="00794A4E">
        <w:rPr>
          <w:sz w:val="20"/>
          <w:szCs w:val="20"/>
        </w:rPr>
        <w:t xml:space="preserve">STLDI as defined in </w:t>
      </w:r>
      <w:hyperlink r:id="rId32" w:anchor="p-144.103(Short-term%20limited-duration%20insurance)" w:history="1">
        <w:r w:rsidRPr="00794A4E">
          <w:rPr>
            <w:rStyle w:val="Hyperlink"/>
            <w:sz w:val="20"/>
            <w:szCs w:val="20"/>
          </w:rPr>
          <w:t>45 CFR 144</w:t>
        </w:r>
      </w:hyperlink>
      <w:r w:rsidRPr="00794A4E">
        <w:rPr>
          <w:sz w:val="20"/>
          <w:szCs w:val="20"/>
        </w:rPr>
        <w:t>, and any latest federal guidance or regulation updates to STLDI definition</w:t>
      </w:r>
      <w:r>
        <w:rPr>
          <w:sz w:val="20"/>
          <w:szCs w:val="20"/>
        </w:rPr>
        <w:t>.</w:t>
      </w:r>
      <w:r w:rsidRPr="00794A4E">
        <w:rPr>
          <w:sz w:val="20"/>
          <w:szCs w:val="20"/>
        </w:rPr>
        <w:t xml:space="preserve"> States must report in their applications any state-level policies on STLDI, including:</w:t>
      </w:r>
      <w:r>
        <w:rPr>
          <w:sz w:val="20"/>
          <w:szCs w:val="20"/>
        </w:rPr>
        <w:t xml:space="preserve"> </w:t>
      </w:r>
    </w:p>
    <w:p w14:paraId="0DC530C4" w14:textId="77777777" w:rsidR="00794A4E" w:rsidRDefault="00794A4E" w:rsidP="00794A4E">
      <w:pPr>
        <w:pStyle w:val="ListParagraph"/>
        <w:numPr>
          <w:ilvl w:val="0"/>
          <w:numId w:val="16"/>
        </w:numPr>
        <w:spacing w:after="0"/>
        <w:rPr>
          <w:sz w:val="20"/>
          <w:szCs w:val="20"/>
        </w:rPr>
      </w:pPr>
      <w:r w:rsidRPr="00794A4E">
        <w:rPr>
          <w:sz w:val="20"/>
          <w:szCs w:val="20"/>
        </w:rPr>
        <w:t xml:space="preserve">Whether there are any State restrictions in place that limit STLDI plans beyond latest federal guidance; </w:t>
      </w:r>
    </w:p>
    <w:p w14:paraId="7242D2E0" w14:textId="77777777" w:rsidR="00794A4E" w:rsidRDefault="00794A4E" w:rsidP="00794A4E">
      <w:pPr>
        <w:pStyle w:val="ListParagraph"/>
        <w:numPr>
          <w:ilvl w:val="0"/>
          <w:numId w:val="16"/>
        </w:numPr>
        <w:spacing w:after="0"/>
        <w:rPr>
          <w:sz w:val="20"/>
          <w:szCs w:val="20"/>
        </w:rPr>
      </w:pPr>
      <w:r w:rsidRPr="00794A4E">
        <w:rPr>
          <w:sz w:val="20"/>
          <w:szCs w:val="20"/>
        </w:rPr>
        <w:t xml:space="preserve">What the State’s maximum allowable initial contract term for STLDI is; and </w:t>
      </w:r>
    </w:p>
    <w:p w14:paraId="13CC3789" w14:textId="761DDA0B" w:rsidR="00794A4E" w:rsidRPr="00794A4E" w:rsidRDefault="00794A4E" w:rsidP="00794A4E">
      <w:pPr>
        <w:pStyle w:val="ListParagraph"/>
        <w:numPr>
          <w:ilvl w:val="0"/>
          <w:numId w:val="16"/>
        </w:numPr>
        <w:spacing w:after="0"/>
        <w:rPr>
          <w:sz w:val="20"/>
          <w:szCs w:val="20"/>
        </w:rPr>
      </w:pPr>
      <w:r w:rsidRPr="00794A4E">
        <w:rPr>
          <w:sz w:val="20"/>
          <w:szCs w:val="20"/>
        </w:rPr>
        <w:t>What the State’s maximum allowable total coverage period for STLDI is.</w:t>
      </w:r>
    </w:p>
    <w:p w14:paraId="21B20A88" w14:textId="77777777" w:rsidR="00285543" w:rsidRDefault="00285543" w:rsidP="00285543">
      <w:pPr>
        <w:spacing w:after="0"/>
        <w:ind w:left="1080"/>
        <w:rPr>
          <w:sz w:val="20"/>
          <w:szCs w:val="20"/>
        </w:rPr>
      </w:pPr>
    </w:p>
    <w:p w14:paraId="6169A4B7" w14:textId="0F33A81D" w:rsidR="00B22891" w:rsidRDefault="00285543" w:rsidP="00571C59">
      <w:pPr>
        <w:spacing w:after="0"/>
        <w:ind w:left="1080"/>
        <w:rPr>
          <w:sz w:val="20"/>
          <w:szCs w:val="20"/>
        </w:rPr>
      </w:pPr>
      <w:r w:rsidRPr="00285543">
        <w:rPr>
          <w:sz w:val="20"/>
          <w:szCs w:val="20"/>
        </w:rPr>
        <w:t xml:space="preserve">Sources: </w:t>
      </w:r>
      <w:hyperlink r:id="rId33" w:history="1">
        <w:r w:rsidRPr="00151C80">
          <w:rPr>
            <w:rStyle w:val="Hyperlink"/>
            <w:sz w:val="20"/>
            <w:szCs w:val="20"/>
          </w:rPr>
          <w:t>RHI Hub – Healthcare Access in Rural Communities</w:t>
        </w:r>
      </w:hyperlink>
      <w:r w:rsidR="00151C80">
        <w:rPr>
          <w:sz w:val="20"/>
          <w:szCs w:val="20"/>
        </w:rPr>
        <w:t>,</w:t>
      </w:r>
      <w:r w:rsidRPr="00285543">
        <w:rPr>
          <w:sz w:val="20"/>
          <w:szCs w:val="20"/>
        </w:rPr>
        <w:t xml:space="preserve"> </w:t>
      </w:r>
      <w:hyperlink r:id="rId34" w:history="1">
        <w:r w:rsidRPr="00151C80">
          <w:rPr>
            <w:rStyle w:val="Hyperlink"/>
            <w:sz w:val="20"/>
            <w:szCs w:val="20"/>
          </w:rPr>
          <w:t>Geographic Variation in Health Insurance Coverage: United States, 2020</w:t>
        </w:r>
      </w:hyperlink>
    </w:p>
    <w:p w14:paraId="4C51C8DC" w14:textId="77777777" w:rsidR="00B22891" w:rsidRPr="00B22891" w:rsidRDefault="00B22891" w:rsidP="00B22891">
      <w:pPr>
        <w:spacing w:after="0"/>
        <w:rPr>
          <w:sz w:val="20"/>
          <w:szCs w:val="20"/>
        </w:rPr>
      </w:pPr>
    </w:p>
    <w:p w14:paraId="2889A308" w14:textId="61149BFD" w:rsidR="00A72714" w:rsidRDefault="00A72714" w:rsidP="002D506E">
      <w:pPr>
        <w:pStyle w:val="ListParagraph"/>
        <w:numPr>
          <w:ilvl w:val="0"/>
          <w:numId w:val="11"/>
        </w:numPr>
        <w:spacing w:after="0"/>
        <w:rPr>
          <w:sz w:val="20"/>
          <w:szCs w:val="20"/>
        </w:rPr>
      </w:pPr>
      <w:r>
        <w:rPr>
          <w:sz w:val="20"/>
          <w:szCs w:val="20"/>
        </w:rPr>
        <w:t>Remote care services</w:t>
      </w:r>
    </w:p>
    <w:p w14:paraId="50143895" w14:textId="77777777" w:rsidR="00B22891" w:rsidRDefault="00B22891" w:rsidP="00B22891">
      <w:pPr>
        <w:spacing w:after="0"/>
        <w:rPr>
          <w:sz w:val="20"/>
          <w:szCs w:val="20"/>
        </w:rPr>
      </w:pPr>
    </w:p>
    <w:p w14:paraId="07E0B4DB" w14:textId="77777777" w:rsidR="00DA0DEC" w:rsidRDefault="00DA0DEC" w:rsidP="00571C59">
      <w:pPr>
        <w:spacing w:after="0"/>
        <w:ind w:left="1080"/>
        <w:rPr>
          <w:sz w:val="20"/>
          <w:szCs w:val="20"/>
        </w:rPr>
      </w:pPr>
      <w:r w:rsidRPr="00DA0DEC">
        <w:rPr>
          <w:sz w:val="20"/>
          <w:szCs w:val="20"/>
        </w:rPr>
        <w:t xml:space="preserve">Rural areas often lack access to medical care due in part to distance from care and workforce shortages. Remote care services can help expand access to care by allowing clinicians of any type to provide rural residents with care from another location via telehealth, remote patient monitoring, or other modalities. While these services can be useful for rural residents, lack of Medicaid coverage for remote care services, lack of in-State providers, and limited infrastructure can all be limiting factors in providing remote care access for rural residents. </w:t>
      </w:r>
    </w:p>
    <w:p w14:paraId="1F4771AE" w14:textId="77777777" w:rsidR="00DA0DEC" w:rsidRDefault="00DA0DEC" w:rsidP="00571C59">
      <w:pPr>
        <w:spacing w:after="0"/>
        <w:ind w:left="1080"/>
        <w:rPr>
          <w:sz w:val="20"/>
          <w:szCs w:val="20"/>
        </w:rPr>
      </w:pPr>
    </w:p>
    <w:p w14:paraId="4FB42C5C" w14:textId="1E172A58" w:rsidR="00CB1CD9" w:rsidRDefault="00CB1CD9" w:rsidP="00571C59">
      <w:pPr>
        <w:spacing w:after="0"/>
        <w:ind w:left="1080"/>
        <w:rPr>
          <w:sz w:val="20"/>
          <w:szCs w:val="20"/>
        </w:rPr>
      </w:pPr>
      <w:r w:rsidRPr="00CB1CD9">
        <w:rPr>
          <w:sz w:val="20"/>
          <w:szCs w:val="20"/>
        </w:rPr>
        <w:t xml:space="preserve">For State Policy Action Factor, metrics capture whether a State has broadly supportive State policies towards access to remote care and telehealth services. Based on categories of State Telehealth Laws and Reimbursement Policies (Source: Center for Connected Health Policy (CCHP). (2024, November). </w:t>
      </w:r>
      <w:hyperlink r:id="rId35" w:history="1">
        <w:r w:rsidRPr="00401745">
          <w:rPr>
            <w:rStyle w:val="Hyperlink"/>
            <w:sz w:val="20"/>
            <w:szCs w:val="20"/>
          </w:rPr>
          <w:t>State Telehealth Laws and Reimbursement Policies Report, Fall 2024</w:t>
        </w:r>
      </w:hyperlink>
      <w:r w:rsidRPr="00CB1CD9">
        <w:rPr>
          <w:sz w:val="20"/>
          <w:szCs w:val="20"/>
        </w:rPr>
        <w:t>).</w:t>
      </w:r>
    </w:p>
    <w:p w14:paraId="127A1F35" w14:textId="77777777" w:rsidR="00CB1CD9" w:rsidRDefault="00CB1CD9" w:rsidP="00571C59">
      <w:pPr>
        <w:spacing w:after="0"/>
        <w:ind w:left="1080"/>
        <w:rPr>
          <w:sz w:val="20"/>
          <w:szCs w:val="20"/>
        </w:rPr>
      </w:pPr>
    </w:p>
    <w:p w14:paraId="7B8EB3E5" w14:textId="7A14672B" w:rsidR="00B22891" w:rsidRDefault="00DA0DEC" w:rsidP="00571C59">
      <w:pPr>
        <w:spacing w:after="0"/>
        <w:ind w:left="1080"/>
        <w:rPr>
          <w:sz w:val="20"/>
          <w:szCs w:val="20"/>
        </w:rPr>
      </w:pPr>
      <w:r w:rsidRPr="00DA0DEC">
        <w:rPr>
          <w:sz w:val="20"/>
          <w:szCs w:val="20"/>
        </w:rPr>
        <w:t xml:space="preserve">Sources: </w:t>
      </w:r>
      <w:hyperlink r:id="rId36" w:anchor="barriers" w:history="1">
        <w:r w:rsidRPr="00B62C0F">
          <w:rPr>
            <w:rStyle w:val="Hyperlink"/>
            <w:sz w:val="20"/>
            <w:szCs w:val="20"/>
          </w:rPr>
          <w:t>RHI Hub – Healthcare Access in Rural Communities</w:t>
        </w:r>
      </w:hyperlink>
      <w:r w:rsidR="00B62C0F">
        <w:rPr>
          <w:sz w:val="20"/>
          <w:szCs w:val="20"/>
        </w:rPr>
        <w:t>,</w:t>
      </w:r>
      <w:r w:rsidRPr="00DA0DEC">
        <w:rPr>
          <w:sz w:val="20"/>
          <w:szCs w:val="20"/>
        </w:rPr>
        <w:t xml:space="preserve"> </w:t>
      </w:r>
      <w:hyperlink r:id="rId37" w:history="1">
        <w:r w:rsidRPr="00B62C0F">
          <w:rPr>
            <w:rStyle w:val="Hyperlink"/>
            <w:sz w:val="20"/>
            <w:szCs w:val="20"/>
          </w:rPr>
          <w:t>RHI Hub – Barriers to Telehealth in Rural Areas</w:t>
        </w:r>
      </w:hyperlink>
      <w:r w:rsidR="00B62C0F">
        <w:rPr>
          <w:sz w:val="20"/>
          <w:szCs w:val="20"/>
        </w:rPr>
        <w:t>,</w:t>
      </w:r>
      <w:r w:rsidRPr="00DA0DEC">
        <w:rPr>
          <w:sz w:val="20"/>
          <w:szCs w:val="20"/>
        </w:rPr>
        <w:t xml:space="preserve"> </w:t>
      </w:r>
      <w:hyperlink r:id="rId38" w:history="1">
        <w:r w:rsidRPr="00B62C0F">
          <w:rPr>
            <w:rStyle w:val="Hyperlink"/>
            <w:sz w:val="20"/>
            <w:szCs w:val="20"/>
          </w:rPr>
          <w:t>Telehealth Interventions and Outcomes Across Rural Communities in the United States: Narrative Revi</w:t>
        </w:r>
      </w:hyperlink>
    </w:p>
    <w:p w14:paraId="683112B7" w14:textId="77777777" w:rsidR="00B22891" w:rsidRPr="00B22891" w:rsidRDefault="00B22891" w:rsidP="00B22891">
      <w:pPr>
        <w:spacing w:after="0"/>
        <w:rPr>
          <w:sz w:val="20"/>
          <w:szCs w:val="20"/>
        </w:rPr>
      </w:pPr>
    </w:p>
    <w:p w14:paraId="34706988" w14:textId="3C316ECC" w:rsidR="005C3809" w:rsidRDefault="00A25B05" w:rsidP="00A25B05">
      <w:pPr>
        <w:pStyle w:val="ListParagraph"/>
        <w:numPr>
          <w:ilvl w:val="0"/>
          <w:numId w:val="1"/>
        </w:numPr>
        <w:spacing w:after="0"/>
        <w:rPr>
          <w:sz w:val="20"/>
          <w:szCs w:val="20"/>
        </w:rPr>
      </w:pPr>
      <w:r>
        <w:rPr>
          <w:sz w:val="20"/>
          <w:szCs w:val="20"/>
        </w:rPr>
        <w:t>Format and Organization</w:t>
      </w:r>
    </w:p>
    <w:p w14:paraId="3B88BF5C" w14:textId="77777777" w:rsidR="00A25B05" w:rsidRDefault="00A25B05" w:rsidP="00A25B05">
      <w:pPr>
        <w:spacing w:after="0"/>
        <w:rPr>
          <w:sz w:val="20"/>
          <w:szCs w:val="20"/>
        </w:rPr>
      </w:pPr>
    </w:p>
    <w:p w14:paraId="2F4955FB" w14:textId="1AB5E747" w:rsidR="00A25B05" w:rsidRDefault="00A25B05" w:rsidP="00A25B05">
      <w:pPr>
        <w:pStyle w:val="ListParagraph"/>
        <w:numPr>
          <w:ilvl w:val="0"/>
          <w:numId w:val="17"/>
        </w:numPr>
        <w:spacing w:after="0"/>
        <w:rPr>
          <w:sz w:val="20"/>
          <w:szCs w:val="20"/>
        </w:rPr>
      </w:pPr>
      <w:r>
        <w:rPr>
          <w:sz w:val="20"/>
          <w:szCs w:val="20"/>
        </w:rPr>
        <w:t>Number of Submissions</w:t>
      </w:r>
    </w:p>
    <w:p w14:paraId="45C8A945" w14:textId="77777777" w:rsidR="00A25B05" w:rsidRDefault="00A25B05" w:rsidP="00A25B05">
      <w:pPr>
        <w:pStyle w:val="ListParagraph"/>
        <w:spacing w:after="0"/>
        <w:rPr>
          <w:sz w:val="20"/>
          <w:szCs w:val="20"/>
        </w:rPr>
      </w:pPr>
    </w:p>
    <w:p w14:paraId="56DFFE4B" w14:textId="01410E14" w:rsidR="00A25B05" w:rsidRDefault="00A25B05" w:rsidP="00A25B05">
      <w:pPr>
        <w:pStyle w:val="ListParagraph"/>
        <w:spacing w:after="0"/>
        <w:rPr>
          <w:sz w:val="20"/>
          <w:szCs w:val="20"/>
        </w:rPr>
      </w:pPr>
      <w:r>
        <w:rPr>
          <w:sz w:val="20"/>
          <w:szCs w:val="20"/>
        </w:rPr>
        <w:t xml:space="preserve">Only one submission </w:t>
      </w:r>
      <w:r w:rsidR="00865BE5">
        <w:rPr>
          <w:sz w:val="20"/>
          <w:szCs w:val="20"/>
        </w:rPr>
        <w:t>per organization shall be accepted in response to this RFI.</w:t>
      </w:r>
    </w:p>
    <w:p w14:paraId="3C1CF6E4" w14:textId="77777777" w:rsidR="00865BE5" w:rsidRDefault="00865BE5" w:rsidP="00865BE5">
      <w:pPr>
        <w:spacing w:after="0"/>
        <w:rPr>
          <w:sz w:val="20"/>
          <w:szCs w:val="20"/>
        </w:rPr>
      </w:pPr>
    </w:p>
    <w:p w14:paraId="31C5A6E3" w14:textId="5B45B8AC" w:rsidR="00865BE5" w:rsidRDefault="00865BE5" w:rsidP="00865BE5">
      <w:pPr>
        <w:pStyle w:val="ListParagraph"/>
        <w:numPr>
          <w:ilvl w:val="0"/>
          <w:numId w:val="17"/>
        </w:numPr>
        <w:spacing w:after="0"/>
        <w:rPr>
          <w:sz w:val="20"/>
          <w:szCs w:val="20"/>
        </w:rPr>
      </w:pPr>
      <w:r>
        <w:rPr>
          <w:sz w:val="20"/>
          <w:szCs w:val="20"/>
        </w:rPr>
        <w:t>Submission</w:t>
      </w:r>
    </w:p>
    <w:p w14:paraId="21BB5431" w14:textId="77777777" w:rsidR="00865BE5" w:rsidRDefault="00865BE5" w:rsidP="00865BE5">
      <w:pPr>
        <w:pStyle w:val="ListParagraph"/>
        <w:spacing w:after="0"/>
        <w:rPr>
          <w:sz w:val="20"/>
          <w:szCs w:val="20"/>
        </w:rPr>
      </w:pPr>
    </w:p>
    <w:p w14:paraId="644A9839" w14:textId="1232CD18" w:rsidR="00865BE5" w:rsidRDefault="00865BE5" w:rsidP="00865BE5">
      <w:pPr>
        <w:pStyle w:val="ListParagraph"/>
        <w:spacing w:after="0"/>
        <w:rPr>
          <w:sz w:val="20"/>
          <w:szCs w:val="20"/>
        </w:rPr>
      </w:pPr>
      <w:r>
        <w:rPr>
          <w:sz w:val="20"/>
          <w:szCs w:val="20"/>
        </w:rPr>
        <w:t>Must include:</w:t>
      </w:r>
    </w:p>
    <w:p w14:paraId="1B80A9F3" w14:textId="4A749662" w:rsidR="00865BE5" w:rsidRDefault="00865BE5" w:rsidP="00865BE5">
      <w:pPr>
        <w:pStyle w:val="ListParagraph"/>
        <w:numPr>
          <w:ilvl w:val="1"/>
          <w:numId w:val="1"/>
        </w:numPr>
        <w:spacing w:after="0"/>
        <w:rPr>
          <w:sz w:val="20"/>
          <w:szCs w:val="20"/>
        </w:rPr>
      </w:pPr>
      <w:r>
        <w:rPr>
          <w:sz w:val="20"/>
          <w:szCs w:val="20"/>
        </w:rPr>
        <w:t xml:space="preserve">One (1) electronic copy of </w:t>
      </w:r>
      <w:r w:rsidR="006151E5">
        <w:rPr>
          <w:sz w:val="20"/>
          <w:szCs w:val="20"/>
        </w:rPr>
        <w:t xml:space="preserve">the RFI Response by email to the RFI Manager identified in Section I, Paragraph F. </w:t>
      </w:r>
    </w:p>
    <w:p w14:paraId="7E34DAC7" w14:textId="713FA5A9" w:rsidR="006151E5" w:rsidRDefault="0089265B" w:rsidP="00865BE5">
      <w:pPr>
        <w:pStyle w:val="ListParagraph"/>
        <w:numPr>
          <w:ilvl w:val="1"/>
          <w:numId w:val="1"/>
        </w:numPr>
        <w:spacing w:after="0"/>
        <w:rPr>
          <w:sz w:val="20"/>
          <w:szCs w:val="20"/>
        </w:rPr>
      </w:pPr>
      <w:r>
        <w:rPr>
          <w:sz w:val="20"/>
          <w:szCs w:val="20"/>
        </w:rPr>
        <w:t>The subject line of the email shall read: “</w:t>
      </w:r>
      <w:r w:rsidRPr="002114D3">
        <w:rPr>
          <w:sz w:val="20"/>
          <w:szCs w:val="20"/>
        </w:rPr>
        <w:t xml:space="preserve">RFI: </w:t>
      </w:r>
      <w:r>
        <w:rPr>
          <w:sz w:val="20"/>
          <w:szCs w:val="20"/>
        </w:rPr>
        <w:t>Rural Health Transformation.”</w:t>
      </w:r>
    </w:p>
    <w:p w14:paraId="2AB87881" w14:textId="61F06C69" w:rsidR="0089265B" w:rsidRDefault="0089265B" w:rsidP="00865BE5">
      <w:pPr>
        <w:pStyle w:val="ListParagraph"/>
        <w:numPr>
          <w:ilvl w:val="1"/>
          <w:numId w:val="1"/>
        </w:numPr>
        <w:spacing w:after="0"/>
        <w:rPr>
          <w:sz w:val="20"/>
          <w:szCs w:val="20"/>
        </w:rPr>
      </w:pPr>
      <w:r>
        <w:rPr>
          <w:sz w:val="20"/>
          <w:szCs w:val="20"/>
        </w:rPr>
        <w:t>All confidential information shall be clearly identified and segregated on the electronic version.</w:t>
      </w:r>
    </w:p>
    <w:p w14:paraId="2E2D6B75" w14:textId="77777777" w:rsidR="0089265B" w:rsidRDefault="0089265B" w:rsidP="0089265B">
      <w:pPr>
        <w:spacing w:after="0"/>
        <w:rPr>
          <w:sz w:val="20"/>
          <w:szCs w:val="20"/>
        </w:rPr>
      </w:pPr>
    </w:p>
    <w:p w14:paraId="28F13A31" w14:textId="6C8A1489" w:rsidR="0089265B" w:rsidRDefault="0089265B" w:rsidP="0089265B">
      <w:pPr>
        <w:pStyle w:val="ListParagraph"/>
        <w:numPr>
          <w:ilvl w:val="0"/>
          <w:numId w:val="17"/>
        </w:numPr>
        <w:spacing w:after="0"/>
        <w:rPr>
          <w:sz w:val="20"/>
          <w:szCs w:val="20"/>
        </w:rPr>
      </w:pPr>
      <w:r>
        <w:rPr>
          <w:sz w:val="20"/>
          <w:szCs w:val="20"/>
        </w:rPr>
        <w:t>Narrative Guidelines</w:t>
      </w:r>
    </w:p>
    <w:p w14:paraId="054764D4" w14:textId="77777777" w:rsidR="0089265B" w:rsidRDefault="0089265B" w:rsidP="0089265B">
      <w:pPr>
        <w:spacing w:after="0"/>
        <w:rPr>
          <w:sz w:val="20"/>
          <w:szCs w:val="20"/>
        </w:rPr>
      </w:pPr>
    </w:p>
    <w:p w14:paraId="6C6F3F71" w14:textId="3E43AA49" w:rsidR="0089265B" w:rsidRDefault="00464CC4" w:rsidP="00464CC4">
      <w:pPr>
        <w:spacing w:after="0"/>
        <w:ind w:left="720"/>
        <w:rPr>
          <w:sz w:val="20"/>
          <w:szCs w:val="20"/>
        </w:rPr>
      </w:pPr>
      <w:r w:rsidRPr="00464CC4">
        <w:rPr>
          <w:sz w:val="20"/>
          <w:szCs w:val="20"/>
        </w:rPr>
        <w:t>The Statement of Interest narrative must be typed using the standard 8 ½ x 11 format with one</w:t>
      </w:r>
      <w:r w:rsidR="00284E24">
        <w:rPr>
          <w:sz w:val="20"/>
          <w:szCs w:val="20"/>
        </w:rPr>
        <w:t xml:space="preserve"> </w:t>
      </w:r>
      <w:r w:rsidRPr="00464CC4">
        <w:rPr>
          <w:sz w:val="20"/>
          <w:szCs w:val="20"/>
        </w:rPr>
        <w:t>inch margins, and in 12-point Times New Roman font. All responses in the RFI must be complete and coincide with the appropriate section as listed below.</w:t>
      </w:r>
    </w:p>
    <w:p w14:paraId="4674A35E" w14:textId="77777777" w:rsidR="00464CC4" w:rsidRDefault="00464CC4" w:rsidP="00464CC4">
      <w:pPr>
        <w:spacing w:after="0"/>
        <w:ind w:left="720"/>
        <w:rPr>
          <w:sz w:val="20"/>
          <w:szCs w:val="20"/>
        </w:rPr>
      </w:pPr>
    </w:p>
    <w:p w14:paraId="7D2457CE" w14:textId="25DFA3D3" w:rsidR="00464CC4" w:rsidRDefault="001C08E0" w:rsidP="001C08E0">
      <w:pPr>
        <w:pStyle w:val="ListParagraph"/>
        <w:numPr>
          <w:ilvl w:val="0"/>
          <w:numId w:val="18"/>
        </w:numPr>
        <w:spacing w:after="0"/>
        <w:rPr>
          <w:sz w:val="20"/>
          <w:szCs w:val="20"/>
        </w:rPr>
      </w:pPr>
      <w:r>
        <w:rPr>
          <w:sz w:val="20"/>
          <w:szCs w:val="20"/>
        </w:rPr>
        <w:t>Signed RFI Cover Letter</w:t>
      </w:r>
    </w:p>
    <w:p w14:paraId="43AE51C4" w14:textId="56605AEB" w:rsidR="00284E24" w:rsidRDefault="00284E24" w:rsidP="00284E24">
      <w:pPr>
        <w:pStyle w:val="ListParagraph"/>
        <w:spacing w:after="0"/>
        <w:ind w:left="1080"/>
        <w:rPr>
          <w:sz w:val="20"/>
          <w:szCs w:val="20"/>
        </w:rPr>
      </w:pPr>
      <w:r>
        <w:rPr>
          <w:sz w:val="20"/>
          <w:szCs w:val="20"/>
        </w:rPr>
        <w:t>Complete the form and have it signed by the person authorized to obligate the organization.</w:t>
      </w:r>
    </w:p>
    <w:p w14:paraId="152225A4" w14:textId="77777777" w:rsidR="00B4440A" w:rsidRDefault="00B4440A" w:rsidP="00B4440A">
      <w:pPr>
        <w:spacing w:after="0"/>
        <w:rPr>
          <w:sz w:val="20"/>
          <w:szCs w:val="20"/>
        </w:rPr>
      </w:pPr>
    </w:p>
    <w:p w14:paraId="5B2A6D5F" w14:textId="5EDB7670" w:rsidR="00B4440A" w:rsidRDefault="00B4440A" w:rsidP="00B4440A">
      <w:pPr>
        <w:pStyle w:val="ListParagraph"/>
        <w:numPr>
          <w:ilvl w:val="0"/>
          <w:numId w:val="18"/>
        </w:numPr>
        <w:spacing w:after="0"/>
        <w:rPr>
          <w:sz w:val="20"/>
          <w:szCs w:val="20"/>
        </w:rPr>
      </w:pPr>
      <w:r>
        <w:rPr>
          <w:sz w:val="20"/>
          <w:szCs w:val="20"/>
        </w:rPr>
        <w:t>Organizational Information</w:t>
      </w:r>
      <w:r w:rsidR="009956C0">
        <w:rPr>
          <w:sz w:val="20"/>
          <w:szCs w:val="20"/>
        </w:rPr>
        <w:t xml:space="preserve"> (Limit 400 words)</w:t>
      </w:r>
    </w:p>
    <w:p w14:paraId="4566914F" w14:textId="77777777" w:rsidR="00FC4750" w:rsidRDefault="00FC4750" w:rsidP="00FC4750">
      <w:pPr>
        <w:pStyle w:val="ListParagraph"/>
        <w:spacing w:after="0"/>
        <w:ind w:left="1080"/>
        <w:rPr>
          <w:sz w:val="20"/>
          <w:szCs w:val="20"/>
        </w:rPr>
      </w:pPr>
    </w:p>
    <w:p w14:paraId="7000A61C" w14:textId="4C784478" w:rsidR="00576D79" w:rsidRDefault="009956C0" w:rsidP="00576D79">
      <w:pPr>
        <w:pStyle w:val="ListParagraph"/>
        <w:numPr>
          <w:ilvl w:val="1"/>
          <w:numId w:val="18"/>
        </w:numPr>
        <w:spacing w:after="0"/>
        <w:rPr>
          <w:sz w:val="20"/>
          <w:szCs w:val="20"/>
        </w:rPr>
      </w:pPr>
      <w:r>
        <w:rPr>
          <w:sz w:val="20"/>
          <w:szCs w:val="20"/>
        </w:rPr>
        <w:t xml:space="preserve">Mission </w:t>
      </w:r>
    </w:p>
    <w:p w14:paraId="499C8EA2" w14:textId="2155B201" w:rsidR="00576D79" w:rsidRDefault="00576D79" w:rsidP="00576D79">
      <w:pPr>
        <w:pStyle w:val="ListParagraph"/>
        <w:spacing w:after="0"/>
        <w:ind w:left="1800"/>
        <w:rPr>
          <w:sz w:val="20"/>
          <w:szCs w:val="20"/>
        </w:rPr>
      </w:pPr>
      <w:r>
        <w:rPr>
          <w:sz w:val="20"/>
          <w:szCs w:val="20"/>
        </w:rPr>
        <w:t>Describe your organization’s mission and how it aligns with this program.</w:t>
      </w:r>
    </w:p>
    <w:p w14:paraId="15BDD7EA" w14:textId="77777777" w:rsidR="00576D79" w:rsidRPr="00576D79" w:rsidRDefault="00576D79" w:rsidP="00576D79">
      <w:pPr>
        <w:pStyle w:val="ListParagraph"/>
        <w:spacing w:after="0"/>
        <w:ind w:left="1800"/>
        <w:rPr>
          <w:sz w:val="20"/>
          <w:szCs w:val="20"/>
        </w:rPr>
      </w:pPr>
    </w:p>
    <w:p w14:paraId="3F9248E6" w14:textId="202E8BCD" w:rsidR="009956C0" w:rsidRDefault="00576D79" w:rsidP="009956C0">
      <w:pPr>
        <w:pStyle w:val="ListParagraph"/>
        <w:numPr>
          <w:ilvl w:val="1"/>
          <w:numId w:val="18"/>
        </w:numPr>
        <w:spacing w:after="0"/>
        <w:rPr>
          <w:sz w:val="20"/>
          <w:szCs w:val="20"/>
        </w:rPr>
      </w:pPr>
      <w:r>
        <w:rPr>
          <w:sz w:val="20"/>
          <w:szCs w:val="20"/>
        </w:rPr>
        <w:t>Experience</w:t>
      </w:r>
    </w:p>
    <w:p w14:paraId="348B7308" w14:textId="15D01AD1" w:rsidR="00576D79" w:rsidRDefault="00576D79" w:rsidP="00576D79">
      <w:pPr>
        <w:pStyle w:val="ListParagraph"/>
        <w:spacing w:after="0"/>
        <w:ind w:left="1800"/>
        <w:rPr>
          <w:sz w:val="20"/>
          <w:szCs w:val="20"/>
        </w:rPr>
      </w:pPr>
      <w:r>
        <w:rPr>
          <w:sz w:val="20"/>
          <w:szCs w:val="20"/>
        </w:rPr>
        <w:t xml:space="preserve">Describe your specific experience </w:t>
      </w:r>
      <w:r w:rsidR="005D0431">
        <w:rPr>
          <w:sz w:val="20"/>
          <w:szCs w:val="20"/>
        </w:rPr>
        <w:t xml:space="preserve">advancing rural health and New Mexico and </w:t>
      </w:r>
      <w:r w:rsidR="00A301B3">
        <w:rPr>
          <w:sz w:val="20"/>
          <w:szCs w:val="20"/>
        </w:rPr>
        <w:t>elsewhere.</w:t>
      </w:r>
    </w:p>
    <w:p w14:paraId="683B8303" w14:textId="77777777" w:rsidR="00576D79" w:rsidRDefault="00576D79" w:rsidP="00576D79">
      <w:pPr>
        <w:pStyle w:val="ListParagraph"/>
        <w:spacing w:after="0"/>
        <w:ind w:left="1800"/>
        <w:rPr>
          <w:sz w:val="20"/>
          <w:szCs w:val="20"/>
        </w:rPr>
      </w:pPr>
    </w:p>
    <w:p w14:paraId="46250E5B" w14:textId="3EDA6438" w:rsidR="00576D79" w:rsidRDefault="00576D79" w:rsidP="009956C0">
      <w:pPr>
        <w:pStyle w:val="ListParagraph"/>
        <w:numPr>
          <w:ilvl w:val="1"/>
          <w:numId w:val="18"/>
        </w:numPr>
        <w:spacing w:after="0"/>
        <w:rPr>
          <w:sz w:val="20"/>
          <w:szCs w:val="20"/>
        </w:rPr>
      </w:pPr>
      <w:r>
        <w:rPr>
          <w:sz w:val="20"/>
          <w:szCs w:val="20"/>
        </w:rPr>
        <w:t>Operational Capacity</w:t>
      </w:r>
    </w:p>
    <w:p w14:paraId="222B358E" w14:textId="6727121B" w:rsidR="005D0431" w:rsidRDefault="005D0431" w:rsidP="005D0431">
      <w:pPr>
        <w:pStyle w:val="ListParagraph"/>
        <w:spacing w:after="0"/>
        <w:ind w:left="1800"/>
        <w:rPr>
          <w:sz w:val="20"/>
          <w:szCs w:val="20"/>
        </w:rPr>
      </w:pPr>
      <w:r>
        <w:rPr>
          <w:sz w:val="20"/>
          <w:szCs w:val="20"/>
        </w:rPr>
        <w:t xml:space="preserve">Describe your capacity and operational readiness to execute initiatives. </w:t>
      </w:r>
    </w:p>
    <w:p w14:paraId="2E918FA8" w14:textId="77777777" w:rsidR="00284E24" w:rsidRDefault="00284E24" w:rsidP="00284E24">
      <w:pPr>
        <w:pStyle w:val="ListParagraph"/>
        <w:spacing w:after="0"/>
        <w:ind w:left="1080"/>
        <w:rPr>
          <w:sz w:val="20"/>
          <w:szCs w:val="20"/>
        </w:rPr>
      </w:pPr>
    </w:p>
    <w:p w14:paraId="69454BED" w14:textId="6AA25545" w:rsidR="00EA6B2C" w:rsidRDefault="00EA6B2C" w:rsidP="00EA6B2C">
      <w:pPr>
        <w:pStyle w:val="ListParagraph"/>
        <w:numPr>
          <w:ilvl w:val="0"/>
          <w:numId w:val="18"/>
        </w:numPr>
        <w:spacing w:after="0"/>
        <w:rPr>
          <w:sz w:val="20"/>
          <w:szCs w:val="20"/>
        </w:rPr>
      </w:pPr>
      <w:r>
        <w:rPr>
          <w:sz w:val="20"/>
          <w:szCs w:val="20"/>
        </w:rPr>
        <w:t>Rural Health Transformation Initiatives Narrative</w:t>
      </w:r>
    </w:p>
    <w:p w14:paraId="21C20D2B" w14:textId="77777777" w:rsidR="00284E24" w:rsidRDefault="00284E24" w:rsidP="00284E24">
      <w:pPr>
        <w:pStyle w:val="ListParagraph"/>
        <w:spacing w:after="0"/>
        <w:ind w:left="1080"/>
        <w:rPr>
          <w:sz w:val="20"/>
          <w:szCs w:val="20"/>
        </w:rPr>
      </w:pPr>
    </w:p>
    <w:p w14:paraId="408E0FFF" w14:textId="1758FE0C" w:rsidR="00284E24" w:rsidRDefault="00284E24" w:rsidP="00284E24">
      <w:pPr>
        <w:pStyle w:val="ListParagraph"/>
        <w:spacing w:after="0"/>
        <w:ind w:left="1080"/>
        <w:rPr>
          <w:sz w:val="20"/>
          <w:szCs w:val="20"/>
        </w:rPr>
      </w:pPr>
      <w:r>
        <w:rPr>
          <w:sz w:val="20"/>
          <w:szCs w:val="20"/>
        </w:rPr>
        <w:t>Each submission may include one or more initiatives, each initiative should be numbered and include each of the following components</w:t>
      </w:r>
      <w:r w:rsidR="00711289">
        <w:rPr>
          <w:sz w:val="20"/>
          <w:szCs w:val="20"/>
        </w:rPr>
        <w:t xml:space="preserve"> (</w:t>
      </w:r>
      <w:r w:rsidR="00B61313">
        <w:rPr>
          <w:sz w:val="20"/>
          <w:szCs w:val="20"/>
        </w:rPr>
        <w:t>L</w:t>
      </w:r>
      <w:r w:rsidR="002A40FC">
        <w:rPr>
          <w:sz w:val="20"/>
          <w:szCs w:val="20"/>
        </w:rPr>
        <w:t>imit 1,500 words per initiative</w:t>
      </w:r>
      <w:r w:rsidR="00711289">
        <w:rPr>
          <w:sz w:val="20"/>
          <w:szCs w:val="20"/>
        </w:rPr>
        <w:t>)</w:t>
      </w:r>
      <w:r>
        <w:rPr>
          <w:sz w:val="20"/>
          <w:szCs w:val="20"/>
        </w:rPr>
        <w:t>:</w:t>
      </w:r>
    </w:p>
    <w:p w14:paraId="500A47DF" w14:textId="77777777" w:rsidR="00284E24" w:rsidRDefault="00284E24" w:rsidP="00284E24">
      <w:pPr>
        <w:pStyle w:val="ListParagraph"/>
        <w:spacing w:after="0"/>
        <w:ind w:left="1080"/>
        <w:rPr>
          <w:sz w:val="20"/>
          <w:szCs w:val="20"/>
        </w:rPr>
      </w:pPr>
    </w:p>
    <w:p w14:paraId="7EF9540B" w14:textId="77777777" w:rsidR="009956C0" w:rsidRDefault="00EA6B2C" w:rsidP="009956C0">
      <w:pPr>
        <w:pStyle w:val="ListParagraph"/>
        <w:numPr>
          <w:ilvl w:val="2"/>
          <w:numId w:val="1"/>
        </w:numPr>
        <w:spacing w:after="0"/>
        <w:rPr>
          <w:sz w:val="20"/>
          <w:szCs w:val="20"/>
        </w:rPr>
      </w:pPr>
      <w:r>
        <w:rPr>
          <w:sz w:val="20"/>
          <w:szCs w:val="20"/>
        </w:rPr>
        <w:t>Title</w:t>
      </w:r>
    </w:p>
    <w:p w14:paraId="38D3B22B" w14:textId="4C16BFFE" w:rsidR="00711289" w:rsidRPr="009956C0" w:rsidRDefault="00A120B1" w:rsidP="009956C0">
      <w:pPr>
        <w:pStyle w:val="ListParagraph"/>
        <w:spacing w:after="0"/>
        <w:ind w:left="1980"/>
        <w:rPr>
          <w:sz w:val="20"/>
          <w:szCs w:val="20"/>
        </w:rPr>
      </w:pPr>
      <w:r w:rsidRPr="009956C0">
        <w:rPr>
          <w:sz w:val="20"/>
          <w:szCs w:val="20"/>
        </w:rPr>
        <w:t>Descriptive name that</w:t>
      </w:r>
      <w:r w:rsidR="00711289" w:rsidRPr="009956C0">
        <w:rPr>
          <w:sz w:val="20"/>
          <w:szCs w:val="20"/>
        </w:rPr>
        <w:t xml:space="preserve"> identifies the initiative.</w:t>
      </w:r>
    </w:p>
    <w:p w14:paraId="452AEA4A" w14:textId="77777777" w:rsidR="00711289" w:rsidRDefault="00711289" w:rsidP="00711289">
      <w:pPr>
        <w:pStyle w:val="ListParagraph"/>
        <w:spacing w:after="0"/>
        <w:ind w:left="1800"/>
        <w:rPr>
          <w:sz w:val="20"/>
          <w:szCs w:val="20"/>
        </w:rPr>
      </w:pPr>
    </w:p>
    <w:p w14:paraId="46CE7483" w14:textId="77777777" w:rsidR="009956C0" w:rsidRDefault="00EA6B2C" w:rsidP="009956C0">
      <w:pPr>
        <w:pStyle w:val="ListParagraph"/>
        <w:numPr>
          <w:ilvl w:val="2"/>
          <w:numId w:val="1"/>
        </w:numPr>
        <w:spacing w:after="0"/>
        <w:rPr>
          <w:sz w:val="20"/>
          <w:szCs w:val="20"/>
        </w:rPr>
      </w:pPr>
      <w:r w:rsidRPr="00EA6B2C">
        <w:rPr>
          <w:sz w:val="20"/>
          <w:szCs w:val="20"/>
        </w:rPr>
        <w:t>Summary</w:t>
      </w:r>
      <w:r w:rsidR="00711289">
        <w:rPr>
          <w:sz w:val="20"/>
          <w:szCs w:val="20"/>
        </w:rPr>
        <w:t xml:space="preserve"> </w:t>
      </w:r>
    </w:p>
    <w:p w14:paraId="12986446" w14:textId="1FD03E81" w:rsidR="00711289" w:rsidRPr="009956C0" w:rsidRDefault="00711289" w:rsidP="009956C0">
      <w:pPr>
        <w:pStyle w:val="ListParagraph"/>
        <w:spacing w:after="0"/>
        <w:ind w:left="1980"/>
        <w:rPr>
          <w:sz w:val="20"/>
          <w:szCs w:val="20"/>
        </w:rPr>
      </w:pPr>
      <w:r w:rsidRPr="009956C0">
        <w:rPr>
          <w:sz w:val="20"/>
          <w:szCs w:val="20"/>
        </w:rPr>
        <w:t xml:space="preserve">Narrative describing the purpose, goals, and strategy of the initiative. Include the problem to be address, the proposed solution, and how the initiative supports rural health transformation. </w:t>
      </w:r>
    </w:p>
    <w:p w14:paraId="22574B89" w14:textId="77777777" w:rsidR="00711289" w:rsidRDefault="00711289" w:rsidP="00711289">
      <w:pPr>
        <w:pStyle w:val="ListParagraph"/>
        <w:spacing w:after="0"/>
        <w:ind w:left="1800"/>
        <w:rPr>
          <w:sz w:val="20"/>
          <w:szCs w:val="20"/>
        </w:rPr>
      </w:pPr>
    </w:p>
    <w:p w14:paraId="41A6C134" w14:textId="77777777" w:rsidR="009956C0" w:rsidRDefault="00EA6B2C" w:rsidP="009956C0">
      <w:pPr>
        <w:pStyle w:val="ListParagraph"/>
        <w:numPr>
          <w:ilvl w:val="2"/>
          <w:numId w:val="1"/>
        </w:numPr>
        <w:spacing w:after="0"/>
        <w:rPr>
          <w:sz w:val="20"/>
          <w:szCs w:val="20"/>
        </w:rPr>
      </w:pPr>
      <w:r w:rsidRPr="00EA6B2C">
        <w:rPr>
          <w:sz w:val="20"/>
          <w:szCs w:val="20"/>
        </w:rPr>
        <w:t>CMS Program Goals Advanced (indicate up to 3)</w:t>
      </w:r>
    </w:p>
    <w:p w14:paraId="2F8E2CA5" w14:textId="77B3A3FB" w:rsidR="00EE326B" w:rsidRPr="009956C0" w:rsidRDefault="00EE326B" w:rsidP="009956C0">
      <w:pPr>
        <w:pStyle w:val="ListParagraph"/>
        <w:spacing w:after="0"/>
        <w:ind w:left="1980"/>
        <w:rPr>
          <w:sz w:val="20"/>
          <w:szCs w:val="20"/>
        </w:rPr>
      </w:pPr>
      <w:r w:rsidRPr="009956C0">
        <w:rPr>
          <w:sz w:val="20"/>
          <w:szCs w:val="20"/>
        </w:rPr>
        <w:t xml:space="preserve">Indicate up to three of the program goals advanced by the initiative. </w:t>
      </w:r>
    </w:p>
    <w:p w14:paraId="28648683" w14:textId="77777777" w:rsidR="00EE326B" w:rsidRDefault="00EE326B" w:rsidP="00EE326B">
      <w:pPr>
        <w:pStyle w:val="ListParagraph"/>
        <w:spacing w:after="0"/>
        <w:ind w:left="1800"/>
        <w:rPr>
          <w:sz w:val="20"/>
          <w:szCs w:val="20"/>
        </w:rPr>
      </w:pPr>
    </w:p>
    <w:p w14:paraId="37C6DB7D" w14:textId="77777777" w:rsidR="009956C0" w:rsidRDefault="00EA6B2C" w:rsidP="009956C0">
      <w:pPr>
        <w:pStyle w:val="ListParagraph"/>
        <w:numPr>
          <w:ilvl w:val="2"/>
          <w:numId w:val="1"/>
        </w:numPr>
        <w:spacing w:after="0"/>
        <w:rPr>
          <w:sz w:val="20"/>
          <w:szCs w:val="20"/>
        </w:rPr>
      </w:pPr>
      <w:r w:rsidRPr="00EA6B2C">
        <w:rPr>
          <w:sz w:val="20"/>
          <w:szCs w:val="20"/>
        </w:rPr>
        <w:t>Allowable RHTP Activity Categories (indicate up to 3)</w:t>
      </w:r>
    </w:p>
    <w:p w14:paraId="755FAE71" w14:textId="12FA9C6E" w:rsidR="00EE326B" w:rsidRPr="009956C0" w:rsidRDefault="00EE326B" w:rsidP="009956C0">
      <w:pPr>
        <w:pStyle w:val="ListParagraph"/>
        <w:spacing w:after="0"/>
        <w:ind w:left="1980"/>
        <w:rPr>
          <w:sz w:val="20"/>
          <w:szCs w:val="20"/>
        </w:rPr>
      </w:pPr>
      <w:r w:rsidRPr="009956C0">
        <w:rPr>
          <w:sz w:val="20"/>
          <w:szCs w:val="20"/>
        </w:rPr>
        <w:t>Identify up to three activities most applicable to the initiative.</w:t>
      </w:r>
    </w:p>
    <w:p w14:paraId="47E523E7" w14:textId="77777777" w:rsidR="00EE326B" w:rsidRDefault="00EE326B" w:rsidP="00EE326B">
      <w:pPr>
        <w:pStyle w:val="ListParagraph"/>
        <w:spacing w:after="0"/>
        <w:ind w:left="1800"/>
        <w:rPr>
          <w:sz w:val="20"/>
          <w:szCs w:val="20"/>
        </w:rPr>
      </w:pPr>
    </w:p>
    <w:p w14:paraId="7918FE3D" w14:textId="77777777" w:rsidR="009956C0" w:rsidRDefault="00EA6B2C" w:rsidP="009956C0">
      <w:pPr>
        <w:pStyle w:val="ListParagraph"/>
        <w:numPr>
          <w:ilvl w:val="2"/>
          <w:numId w:val="1"/>
        </w:numPr>
        <w:spacing w:after="0"/>
        <w:rPr>
          <w:sz w:val="20"/>
          <w:szCs w:val="20"/>
        </w:rPr>
      </w:pPr>
      <w:r w:rsidRPr="00EA6B2C">
        <w:rPr>
          <w:sz w:val="20"/>
          <w:szCs w:val="20"/>
        </w:rPr>
        <w:t>Expected Outcomes</w:t>
      </w:r>
    </w:p>
    <w:p w14:paraId="3ED3011A" w14:textId="45E83A7F" w:rsidR="00FC0B5C" w:rsidRPr="009956C0" w:rsidRDefault="00FC0B5C" w:rsidP="009956C0">
      <w:pPr>
        <w:pStyle w:val="ListParagraph"/>
        <w:spacing w:after="0"/>
        <w:ind w:left="1980"/>
        <w:rPr>
          <w:sz w:val="20"/>
          <w:szCs w:val="20"/>
        </w:rPr>
      </w:pPr>
      <w:r w:rsidRPr="009956C0">
        <w:rPr>
          <w:sz w:val="20"/>
          <w:szCs w:val="20"/>
        </w:rPr>
        <w:t>Identify performance metrics or other measurable outcomes expected to be achieved.</w:t>
      </w:r>
    </w:p>
    <w:p w14:paraId="458B7E3A" w14:textId="77777777" w:rsidR="00FC0B5C" w:rsidRDefault="00FC0B5C" w:rsidP="00FC0B5C">
      <w:pPr>
        <w:pStyle w:val="ListParagraph"/>
        <w:spacing w:after="0"/>
        <w:ind w:left="1800"/>
        <w:rPr>
          <w:sz w:val="20"/>
          <w:szCs w:val="20"/>
        </w:rPr>
      </w:pPr>
    </w:p>
    <w:p w14:paraId="63991838" w14:textId="77777777" w:rsidR="009956C0" w:rsidRDefault="00EA6B2C" w:rsidP="009956C0">
      <w:pPr>
        <w:pStyle w:val="ListParagraph"/>
        <w:numPr>
          <w:ilvl w:val="2"/>
          <w:numId w:val="1"/>
        </w:numPr>
        <w:spacing w:after="0"/>
        <w:rPr>
          <w:sz w:val="20"/>
          <w:szCs w:val="20"/>
        </w:rPr>
      </w:pPr>
      <w:r w:rsidRPr="00EA6B2C">
        <w:rPr>
          <w:sz w:val="20"/>
          <w:szCs w:val="20"/>
        </w:rPr>
        <w:t>Cost Estimates</w:t>
      </w:r>
    </w:p>
    <w:p w14:paraId="53833A3C" w14:textId="5E4D2272" w:rsidR="00FC0B5C" w:rsidRPr="009956C0" w:rsidRDefault="00FC0B5C" w:rsidP="009956C0">
      <w:pPr>
        <w:pStyle w:val="ListParagraph"/>
        <w:spacing w:after="0"/>
        <w:ind w:left="1980"/>
        <w:rPr>
          <w:sz w:val="20"/>
          <w:szCs w:val="20"/>
        </w:rPr>
      </w:pPr>
      <w:r w:rsidRPr="009956C0">
        <w:rPr>
          <w:sz w:val="20"/>
          <w:szCs w:val="20"/>
        </w:rPr>
        <w:t>Provide a high-level summary of estimated one-time and ongoing costs for a five year period.</w:t>
      </w:r>
      <w:r w:rsidR="00A301B3">
        <w:rPr>
          <w:sz w:val="20"/>
          <w:szCs w:val="20"/>
        </w:rPr>
        <w:t xml:space="preserve"> </w:t>
      </w:r>
      <w:r w:rsidR="00550F73">
        <w:rPr>
          <w:sz w:val="20"/>
          <w:szCs w:val="20"/>
        </w:rPr>
        <w:t xml:space="preserve">A detailed cost </w:t>
      </w:r>
      <w:r w:rsidR="00E53F79">
        <w:rPr>
          <w:sz w:val="20"/>
          <w:szCs w:val="20"/>
        </w:rPr>
        <w:t>estimate</w:t>
      </w:r>
      <w:r w:rsidR="00550F73">
        <w:rPr>
          <w:sz w:val="20"/>
          <w:szCs w:val="20"/>
        </w:rPr>
        <w:t xml:space="preserve"> may also be submitted as an optional attachment.</w:t>
      </w:r>
    </w:p>
    <w:p w14:paraId="1853D72C" w14:textId="77777777" w:rsidR="00FC0B5C" w:rsidRDefault="00FC0B5C" w:rsidP="00FC0B5C">
      <w:pPr>
        <w:pStyle w:val="ListParagraph"/>
        <w:spacing w:after="0"/>
        <w:ind w:left="1800"/>
        <w:rPr>
          <w:sz w:val="20"/>
          <w:szCs w:val="20"/>
        </w:rPr>
      </w:pPr>
    </w:p>
    <w:p w14:paraId="2BFBA1D9" w14:textId="77777777" w:rsidR="009956C0" w:rsidRDefault="00EA6B2C" w:rsidP="009956C0">
      <w:pPr>
        <w:pStyle w:val="ListParagraph"/>
        <w:numPr>
          <w:ilvl w:val="2"/>
          <w:numId w:val="1"/>
        </w:numPr>
        <w:spacing w:after="0"/>
        <w:rPr>
          <w:sz w:val="20"/>
          <w:szCs w:val="20"/>
        </w:rPr>
      </w:pPr>
      <w:r w:rsidRPr="00EA6B2C">
        <w:rPr>
          <w:sz w:val="20"/>
          <w:szCs w:val="20"/>
        </w:rPr>
        <w:t xml:space="preserve">Funding Category Alignment </w:t>
      </w:r>
    </w:p>
    <w:p w14:paraId="46F3FDFB" w14:textId="55229D5B" w:rsidR="00FC0B5C" w:rsidRDefault="00FC0B5C" w:rsidP="009956C0">
      <w:pPr>
        <w:pStyle w:val="ListParagraph"/>
        <w:spacing w:after="0"/>
        <w:ind w:left="1980"/>
        <w:rPr>
          <w:sz w:val="20"/>
          <w:szCs w:val="20"/>
        </w:rPr>
      </w:pPr>
      <w:r w:rsidRPr="009956C0">
        <w:rPr>
          <w:sz w:val="20"/>
          <w:szCs w:val="20"/>
        </w:rPr>
        <w:t xml:space="preserve">Note which expenses </w:t>
      </w:r>
      <w:r w:rsidR="003B46B0" w:rsidRPr="009956C0">
        <w:rPr>
          <w:sz w:val="20"/>
          <w:szCs w:val="20"/>
        </w:rPr>
        <w:t xml:space="preserve">are subject to the restrictions on direct payments to healthcare providers (up to 15%), </w:t>
      </w:r>
      <w:r w:rsidR="00B4440A" w:rsidRPr="009956C0">
        <w:rPr>
          <w:sz w:val="20"/>
          <w:szCs w:val="20"/>
        </w:rPr>
        <w:t xml:space="preserve">infrastructure-related expenses (up to 20%), and administrative expenses (up to 10%). </w:t>
      </w:r>
    </w:p>
    <w:p w14:paraId="47F90CBC" w14:textId="77777777" w:rsidR="00550F73" w:rsidRDefault="00550F73" w:rsidP="00550F73">
      <w:pPr>
        <w:spacing w:after="0"/>
        <w:rPr>
          <w:sz w:val="20"/>
          <w:szCs w:val="20"/>
        </w:rPr>
      </w:pPr>
    </w:p>
    <w:p w14:paraId="2F20657B" w14:textId="54EA91FB" w:rsidR="00550F73" w:rsidRDefault="00550F73" w:rsidP="00550F73">
      <w:pPr>
        <w:pStyle w:val="ListParagraph"/>
        <w:numPr>
          <w:ilvl w:val="1"/>
          <w:numId w:val="1"/>
        </w:numPr>
        <w:spacing w:after="0"/>
        <w:rPr>
          <w:sz w:val="20"/>
          <w:szCs w:val="20"/>
        </w:rPr>
      </w:pPr>
      <w:r>
        <w:rPr>
          <w:sz w:val="20"/>
          <w:szCs w:val="20"/>
        </w:rPr>
        <w:t xml:space="preserve">State Policy Actions </w:t>
      </w:r>
    </w:p>
    <w:p w14:paraId="010C79F4" w14:textId="77777777" w:rsidR="00550F73" w:rsidRDefault="00550F73" w:rsidP="00550F73">
      <w:pPr>
        <w:pStyle w:val="ListParagraph"/>
        <w:spacing w:after="0"/>
        <w:rPr>
          <w:sz w:val="20"/>
          <w:szCs w:val="20"/>
        </w:rPr>
      </w:pPr>
    </w:p>
    <w:p w14:paraId="1971799F" w14:textId="175DD698" w:rsidR="00550F73" w:rsidRDefault="00550F73" w:rsidP="00550F73">
      <w:pPr>
        <w:pStyle w:val="ListParagraph"/>
        <w:spacing w:after="0"/>
        <w:ind w:left="1080"/>
        <w:rPr>
          <w:sz w:val="20"/>
          <w:szCs w:val="20"/>
        </w:rPr>
      </w:pPr>
      <w:r>
        <w:rPr>
          <w:sz w:val="20"/>
          <w:szCs w:val="20"/>
        </w:rPr>
        <w:t xml:space="preserve">Each submission </w:t>
      </w:r>
      <w:r w:rsidR="0071541F">
        <w:rPr>
          <w:sz w:val="20"/>
          <w:szCs w:val="20"/>
        </w:rPr>
        <w:t xml:space="preserve">may </w:t>
      </w:r>
      <w:r>
        <w:rPr>
          <w:sz w:val="20"/>
          <w:szCs w:val="20"/>
        </w:rPr>
        <w:t xml:space="preserve">address one or more state policy action proposed by the </w:t>
      </w:r>
      <w:r w:rsidR="0071541F">
        <w:rPr>
          <w:sz w:val="20"/>
          <w:szCs w:val="20"/>
        </w:rPr>
        <w:t xml:space="preserve">NOFO. Each response should be numbered and responses are limited to 500 words per policy. </w:t>
      </w:r>
    </w:p>
    <w:p w14:paraId="3BE340E7" w14:textId="77777777" w:rsidR="000E63E5" w:rsidRDefault="000E63E5" w:rsidP="000E63E5">
      <w:pPr>
        <w:spacing w:after="0"/>
        <w:rPr>
          <w:sz w:val="20"/>
          <w:szCs w:val="20"/>
        </w:rPr>
      </w:pPr>
    </w:p>
    <w:p w14:paraId="6EB9F5DA" w14:textId="77777777" w:rsidR="00606CF2" w:rsidRPr="00606CF2" w:rsidRDefault="00606CF2" w:rsidP="00606CF2">
      <w:pPr>
        <w:spacing w:after="0"/>
        <w:rPr>
          <w:sz w:val="20"/>
          <w:szCs w:val="20"/>
        </w:rPr>
      </w:pPr>
    </w:p>
    <w:sectPr w:rsidR="00606CF2" w:rsidRPr="00606CF2">
      <w:headerReference w:type="even" r:id="rId39"/>
      <w:headerReference w:type="default" r:id="rId40"/>
      <w:footerReference w:type="even" r:id="rId41"/>
      <w:footerReference w:type="default" r:id="rId42"/>
      <w:headerReference w:type="first" r:id="rId43"/>
      <w:footerReference w:type="first" r:id="rId4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007682" w14:textId="77777777" w:rsidR="00EB6BCF" w:rsidRDefault="00EB6BCF" w:rsidP="000F1847">
      <w:pPr>
        <w:spacing w:after="0" w:line="240" w:lineRule="auto"/>
      </w:pPr>
      <w:r>
        <w:separator/>
      </w:r>
    </w:p>
  </w:endnote>
  <w:endnote w:type="continuationSeparator" w:id="0">
    <w:p w14:paraId="62B68993" w14:textId="77777777" w:rsidR="00EB6BCF" w:rsidRDefault="00EB6BCF" w:rsidP="000F18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45572" w14:textId="77777777" w:rsidR="000F1847" w:rsidRDefault="000F18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9779864"/>
      <w:docPartObj>
        <w:docPartGallery w:val="Page Numbers (Bottom of Page)"/>
        <w:docPartUnique/>
      </w:docPartObj>
    </w:sdtPr>
    <w:sdtEndPr>
      <w:rPr>
        <w:noProof/>
      </w:rPr>
    </w:sdtEndPr>
    <w:sdtContent>
      <w:p w14:paraId="26021A6A" w14:textId="3FE5C823" w:rsidR="000F1847" w:rsidRDefault="000F184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BE985C4" w14:textId="77777777" w:rsidR="000F1847" w:rsidRDefault="000F184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C0D2C" w14:textId="77777777" w:rsidR="000F1847" w:rsidRDefault="000F18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46F96C" w14:textId="77777777" w:rsidR="00EB6BCF" w:rsidRDefault="00EB6BCF" w:rsidP="000F1847">
      <w:pPr>
        <w:spacing w:after="0" w:line="240" w:lineRule="auto"/>
      </w:pPr>
      <w:r>
        <w:separator/>
      </w:r>
    </w:p>
  </w:footnote>
  <w:footnote w:type="continuationSeparator" w:id="0">
    <w:p w14:paraId="6A6C7CFD" w14:textId="77777777" w:rsidR="00EB6BCF" w:rsidRDefault="00EB6BCF" w:rsidP="000F18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A6479" w14:textId="77777777" w:rsidR="000F1847" w:rsidRDefault="000F18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6E2E2" w14:textId="77777777" w:rsidR="000F1847" w:rsidRDefault="000F184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6565D" w14:textId="77777777" w:rsidR="000F1847" w:rsidRDefault="000F18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51115"/>
    <w:multiLevelType w:val="hybridMultilevel"/>
    <w:tmpl w:val="CDCEEFB4"/>
    <w:lvl w:ilvl="0" w:tplc="34D2C8E0">
      <w:start w:val="3"/>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AA217E7"/>
    <w:multiLevelType w:val="hybridMultilevel"/>
    <w:tmpl w:val="6B78763C"/>
    <w:lvl w:ilvl="0" w:tplc="08F045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F1E2FA9"/>
    <w:multiLevelType w:val="hybridMultilevel"/>
    <w:tmpl w:val="3B9C4A3E"/>
    <w:lvl w:ilvl="0" w:tplc="B45E226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E636455"/>
    <w:multiLevelType w:val="hybridMultilevel"/>
    <w:tmpl w:val="A37C74BA"/>
    <w:lvl w:ilvl="0" w:tplc="B45E226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E876675"/>
    <w:multiLevelType w:val="hybridMultilevel"/>
    <w:tmpl w:val="9B9A0C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B172DF"/>
    <w:multiLevelType w:val="hybridMultilevel"/>
    <w:tmpl w:val="30E631E0"/>
    <w:lvl w:ilvl="0" w:tplc="873C7A1E">
      <w:start w:val="3"/>
      <w:numFmt w:val="bullet"/>
      <w:lvlText w:val=""/>
      <w:lvlJc w:val="left"/>
      <w:pPr>
        <w:ind w:left="2160" w:hanging="360"/>
      </w:pPr>
      <w:rPr>
        <w:rFonts w:ascii="Symbol" w:eastAsiaTheme="minorHAnsi" w:hAnsi="Symbol" w:cstheme="minorBidi"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26653485"/>
    <w:multiLevelType w:val="hybridMultilevel"/>
    <w:tmpl w:val="12080F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6A221F"/>
    <w:multiLevelType w:val="hybridMultilevel"/>
    <w:tmpl w:val="583C62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9C94E4D"/>
    <w:multiLevelType w:val="hybridMultilevel"/>
    <w:tmpl w:val="E1787D58"/>
    <w:lvl w:ilvl="0" w:tplc="B45E2260">
      <w:start w:val="1"/>
      <w:numFmt w:val="decimal"/>
      <w:lvlText w:val="%1."/>
      <w:lvlJc w:val="left"/>
      <w:pPr>
        <w:ind w:left="1440" w:hanging="720"/>
      </w:pPr>
      <w:rPr>
        <w:rFonts w:hint="default"/>
      </w:rPr>
    </w:lvl>
    <w:lvl w:ilvl="1" w:tplc="FFFFFFFF">
      <w:start w:val="1"/>
      <w:numFmt w:val="decimal"/>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2B661166"/>
    <w:multiLevelType w:val="hybridMultilevel"/>
    <w:tmpl w:val="D64EED08"/>
    <w:lvl w:ilvl="0" w:tplc="8B2445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C446EAE"/>
    <w:multiLevelType w:val="hybridMultilevel"/>
    <w:tmpl w:val="92C8695C"/>
    <w:lvl w:ilvl="0" w:tplc="86EC744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25F2141"/>
    <w:multiLevelType w:val="hybridMultilevel"/>
    <w:tmpl w:val="6C90727A"/>
    <w:lvl w:ilvl="0" w:tplc="873C7A1E">
      <w:start w:val="3"/>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FFF616D"/>
    <w:multiLevelType w:val="hybridMultilevel"/>
    <w:tmpl w:val="167CE6F8"/>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1A6BF2"/>
    <w:multiLevelType w:val="hybridMultilevel"/>
    <w:tmpl w:val="D0447124"/>
    <w:lvl w:ilvl="0" w:tplc="74A0978A">
      <w:start w:val="1"/>
      <w:numFmt w:val="bullet"/>
      <w:lvlText w:val=""/>
      <w:lvlJc w:val="left"/>
      <w:pPr>
        <w:ind w:left="1080" w:hanging="360"/>
      </w:pPr>
      <w:rPr>
        <w:rFonts w:ascii="Symbol" w:hAnsi="Symbol" w:hint="default"/>
        <w:color w:val="000000" w:themeColor="text1"/>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626756B"/>
    <w:multiLevelType w:val="hybridMultilevel"/>
    <w:tmpl w:val="B4DE583A"/>
    <w:lvl w:ilvl="0" w:tplc="873C7A1E">
      <w:start w:val="3"/>
      <w:numFmt w:val="bullet"/>
      <w:lvlText w:val=""/>
      <w:lvlJc w:val="left"/>
      <w:pPr>
        <w:ind w:left="1440" w:hanging="360"/>
      </w:pPr>
      <w:rPr>
        <w:rFonts w:ascii="Symbol" w:eastAsiaTheme="minorHAnsi" w:hAnsi="Symbol"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5F1B6600"/>
    <w:multiLevelType w:val="hybridMultilevel"/>
    <w:tmpl w:val="1E842474"/>
    <w:lvl w:ilvl="0" w:tplc="0409001B">
      <w:start w:val="1"/>
      <w:numFmt w:val="lowerRoman"/>
      <w:lvlText w:val="%1."/>
      <w:lvlJc w:val="right"/>
      <w:pPr>
        <w:ind w:left="1440" w:hanging="360"/>
      </w:pPr>
      <w:rPr>
        <w:rFonts w:hint="default"/>
        <w:color w:val="000000" w:themeColor="text1"/>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6A034538"/>
    <w:multiLevelType w:val="hybridMultilevel"/>
    <w:tmpl w:val="93221C58"/>
    <w:lvl w:ilvl="0" w:tplc="873C7A1E">
      <w:start w:val="3"/>
      <w:numFmt w:val="bullet"/>
      <w:lvlText w:val=""/>
      <w:lvlJc w:val="left"/>
      <w:pPr>
        <w:ind w:left="2160" w:hanging="360"/>
      </w:pPr>
      <w:rPr>
        <w:rFonts w:ascii="Symbol" w:eastAsiaTheme="minorHAnsi" w:hAnsi="Symbol"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6D6C07D7"/>
    <w:multiLevelType w:val="hybridMultilevel"/>
    <w:tmpl w:val="3634DB7E"/>
    <w:lvl w:ilvl="0" w:tplc="FFFFFFFF">
      <w:start w:val="1"/>
      <w:numFmt w:val="upperRoman"/>
      <w:lvlText w:val="%1."/>
      <w:lvlJc w:val="left"/>
      <w:pPr>
        <w:ind w:left="720" w:hanging="720"/>
      </w:pPr>
      <w:rPr>
        <w:rFonts w:hint="default"/>
      </w:rPr>
    </w:lvl>
    <w:lvl w:ilvl="1" w:tplc="FFFFFFFF">
      <w:start w:val="1"/>
      <w:numFmt w:val="decimal"/>
      <w:lvlText w:val="%2."/>
      <w:lvlJc w:val="left"/>
      <w:pPr>
        <w:ind w:left="1080" w:hanging="360"/>
      </w:pPr>
      <w:rPr>
        <w:rFonts w:hint="default"/>
      </w:rPr>
    </w:lvl>
    <w:lvl w:ilvl="2" w:tplc="04090019">
      <w:start w:val="1"/>
      <w:numFmt w:val="lowerLetter"/>
      <w:lvlText w:val="%3."/>
      <w:lvlJc w:val="left"/>
      <w:pPr>
        <w:ind w:left="1980" w:hanging="36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73C05845"/>
    <w:multiLevelType w:val="hybridMultilevel"/>
    <w:tmpl w:val="A12CC3AE"/>
    <w:lvl w:ilvl="0" w:tplc="74A0978A">
      <w:start w:val="1"/>
      <w:numFmt w:val="bullet"/>
      <w:lvlText w:val=""/>
      <w:lvlJc w:val="left"/>
      <w:pPr>
        <w:ind w:left="1440" w:hanging="360"/>
      </w:pPr>
      <w:rPr>
        <w:rFonts w:ascii="Symbol" w:hAnsi="Symbol" w:hint="default"/>
        <w:color w:val="000000" w:themeColor="text1"/>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7AC070BA"/>
    <w:multiLevelType w:val="hybridMultilevel"/>
    <w:tmpl w:val="D054BAFA"/>
    <w:lvl w:ilvl="0" w:tplc="873C7A1E">
      <w:start w:val="3"/>
      <w:numFmt w:val="bullet"/>
      <w:lvlText w:val=""/>
      <w:lvlJc w:val="left"/>
      <w:pPr>
        <w:ind w:left="2160" w:hanging="360"/>
      </w:pPr>
      <w:rPr>
        <w:rFonts w:ascii="Symbol" w:eastAsiaTheme="minorHAnsi" w:hAnsi="Symbol"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7B402872"/>
    <w:multiLevelType w:val="hybridMultilevel"/>
    <w:tmpl w:val="536A9F88"/>
    <w:lvl w:ilvl="0" w:tplc="502C2F1C">
      <w:start w:val="1"/>
      <w:numFmt w:val="upperRoman"/>
      <w:lvlText w:val="%1."/>
      <w:lvlJc w:val="left"/>
      <w:pPr>
        <w:ind w:left="720" w:hanging="720"/>
      </w:pPr>
      <w:rPr>
        <w:rFonts w:hint="default"/>
      </w:rPr>
    </w:lvl>
    <w:lvl w:ilvl="1" w:tplc="B45E2260">
      <w:start w:val="1"/>
      <w:numFmt w:val="decimal"/>
      <w:lvlText w:val="%2."/>
      <w:lvlJc w:val="left"/>
      <w:pPr>
        <w:ind w:left="1080" w:hanging="360"/>
      </w:pPr>
      <w:rPr>
        <w:rFonts w:hint="default"/>
      </w:rPr>
    </w:lvl>
    <w:lvl w:ilvl="2" w:tplc="04090019">
      <w:start w:val="1"/>
      <w:numFmt w:val="lowerLetter"/>
      <w:lvlText w:val="%3."/>
      <w:lvlJc w:val="left"/>
      <w:pPr>
        <w:ind w:left="1980" w:hanging="36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087146078">
    <w:abstractNumId w:val="20"/>
  </w:num>
  <w:num w:numId="2" w16cid:durableId="582838878">
    <w:abstractNumId w:val="4"/>
  </w:num>
  <w:num w:numId="3" w16cid:durableId="1766030010">
    <w:abstractNumId w:val="1"/>
  </w:num>
  <w:num w:numId="4" w16cid:durableId="1557162214">
    <w:abstractNumId w:val="0"/>
  </w:num>
  <w:num w:numId="5" w16cid:durableId="2143883579">
    <w:abstractNumId w:val="11"/>
  </w:num>
  <w:num w:numId="6" w16cid:durableId="332607133">
    <w:abstractNumId w:val="8"/>
  </w:num>
  <w:num w:numId="7" w16cid:durableId="649210646">
    <w:abstractNumId w:val="3"/>
  </w:num>
  <w:num w:numId="8" w16cid:durableId="2011134867">
    <w:abstractNumId w:val="2"/>
  </w:num>
  <w:num w:numId="9" w16cid:durableId="593435075">
    <w:abstractNumId w:val="12"/>
  </w:num>
  <w:num w:numId="10" w16cid:durableId="1866825176">
    <w:abstractNumId w:val="17"/>
  </w:num>
  <w:num w:numId="11" w16cid:durableId="180780145">
    <w:abstractNumId w:val="9"/>
  </w:num>
  <w:num w:numId="12" w16cid:durableId="1189610756">
    <w:abstractNumId w:val="5"/>
  </w:num>
  <w:num w:numId="13" w16cid:durableId="1986736977">
    <w:abstractNumId w:val="16"/>
  </w:num>
  <w:num w:numId="14" w16cid:durableId="1186091818">
    <w:abstractNumId w:val="14"/>
  </w:num>
  <w:num w:numId="15" w16cid:durableId="119538410">
    <w:abstractNumId w:val="19"/>
  </w:num>
  <w:num w:numId="16" w16cid:durableId="103110689">
    <w:abstractNumId w:val="7"/>
  </w:num>
  <w:num w:numId="17" w16cid:durableId="271328404">
    <w:abstractNumId w:val="6"/>
  </w:num>
  <w:num w:numId="18" w16cid:durableId="1431050192">
    <w:abstractNumId w:val="10"/>
  </w:num>
  <w:num w:numId="19" w16cid:durableId="728191727">
    <w:abstractNumId w:val="18"/>
  </w:num>
  <w:num w:numId="20" w16cid:durableId="78530142">
    <w:abstractNumId w:val="13"/>
  </w:num>
  <w:num w:numId="21" w16cid:durableId="134266435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95E"/>
    <w:rsid w:val="000020AB"/>
    <w:rsid w:val="000067C2"/>
    <w:rsid w:val="000145D4"/>
    <w:rsid w:val="00015E3C"/>
    <w:rsid w:val="00023707"/>
    <w:rsid w:val="000242C4"/>
    <w:rsid w:val="00024B8F"/>
    <w:rsid w:val="000268E8"/>
    <w:rsid w:val="00037008"/>
    <w:rsid w:val="0003793A"/>
    <w:rsid w:val="00042A65"/>
    <w:rsid w:val="000543E8"/>
    <w:rsid w:val="000605DE"/>
    <w:rsid w:val="000620B9"/>
    <w:rsid w:val="00070724"/>
    <w:rsid w:val="00071879"/>
    <w:rsid w:val="00081297"/>
    <w:rsid w:val="00085736"/>
    <w:rsid w:val="00087F55"/>
    <w:rsid w:val="000922ED"/>
    <w:rsid w:val="00095D68"/>
    <w:rsid w:val="00096283"/>
    <w:rsid w:val="00096FAE"/>
    <w:rsid w:val="000B2AD0"/>
    <w:rsid w:val="000B35B9"/>
    <w:rsid w:val="000D72E0"/>
    <w:rsid w:val="000E1D81"/>
    <w:rsid w:val="000E2539"/>
    <w:rsid w:val="000E43CF"/>
    <w:rsid w:val="000E52D3"/>
    <w:rsid w:val="000E63E5"/>
    <w:rsid w:val="000F1847"/>
    <w:rsid w:val="000F1A6B"/>
    <w:rsid w:val="000F379D"/>
    <w:rsid w:val="001009E0"/>
    <w:rsid w:val="001076EE"/>
    <w:rsid w:val="001104E9"/>
    <w:rsid w:val="00110B65"/>
    <w:rsid w:val="00110C3A"/>
    <w:rsid w:val="0011120E"/>
    <w:rsid w:val="00112108"/>
    <w:rsid w:val="00122D3F"/>
    <w:rsid w:val="00136C4F"/>
    <w:rsid w:val="00151C80"/>
    <w:rsid w:val="00156535"/>
    <w:rsid w:val="0016749F"/>
    <w:rsid w:val="00191C1A"/>
    <w:rsid w:val="00194740"/>
    <w:rsid w:val="00197482"/>
    <w:rsid w:val="001A044C"/>
    <w:rsid w:val="001A5D92"/>
    <w:rsid w:val="001B0441"/>
    <w:rsid w:val="001B320B"/>
    <w:rsid w:val="001B5D59"/>
    <w:rsid w:val="001C08E0"/>
    <w:rsid w:val="001C0BEB"/>
    <w:rsid w:val="001C0F92"/>
    <w:rsid w:val="001C26C8"/>
    <w:rsid w:val="001C3218"/>
    <w:rsid w:val="001C555B"/>
    <w:rsid w:val="001E43C2"/>
    <w:rsid w:val="001E5723"/>
    <w:rsid w:val="001F2DC8"/>
    <w:rsid w:val="001F46CB"/>
    <w:rsid w:val="002114D3"/>
    <w:rsid w:val="00212D32"/>
    <w:rsid w:val="002277DF"/>
    <w:rsid w:val="002306CC"/>
    <w:rsid w:val="0023440A"/>
    <w:rsid w:val="00235C40"/>
    <w:rsid w:val="002467BD"/>
    <w:rsid w:val="002500A2"/>
    <w:rsid w:val="00254511"/>
    <w:rsid w:val="00274BA0"/>
    <w:rsid w:val="00284E24"/>
    <w:rsid w:val="00285543"/>
    <w:rsid w:val="00295362"/>
    <w:rsid w:val="002A40FC"/>
    <w:rsid w:val="002A7906"/>
    <w:rsid w:val="002B5D3D"/>
    <w:rsid w:val="002C2322"/>
    <w:rsid w:val="002C7F58"/>
    <w:rsid w:val="002D49BF"/>
    <w:rsid w:val="002D506E"/>
    <w:rsid w:val="002F364B"/>
    <w:rsid w:val="00314A94"/>
    <w:rsid w:val="00315935"/>
    <w:rsid w:val="003263BF"/>
    <w:rsid w:val="003347AE"/>
    <w:rsid w:val="00335904"/>
    <w:rsid w:val="00335F23"/>
    <w:rsid w:val="00344EE0"/>
    <w:rsid w:val="0035369D"/>
    <w:rsid w:val="00362BD2"/>
    <w:rsid w:val="00367936"/>
    <w:rsid w:val="00373D5A"/>
    <w:rsid w:val="003803F6"/>
    <w:rsid w:val="00380B8B"/>
    <w:rsid w:val="003837DF"/>
    <w:rsid w:val="00387D55"/>
    <w:rsid w:val="00395232"/>
    <w:rsid w:val="00395B85"/>
    <w:rsid w:val="003A2B51"/>
    <w:rsid w:val="003B46B0"/>
    <w:rsid w:val="003B77AC"/>
    <w:rsid w:val="003C3172"/>
    <w:rsid w:val="003C53D9"/>
    <w:rsid w:val="003D1000"/>
    <w:rsid w:val="003D438A"/>
    <w:rsid w:val="003E208F"/>
    <w:rsid w:val="003E255D"/>
    <w:rsid w:val="00401745"/>
    <w:rsid w:val="00407929"/>
    <w:rsid w:val="00407F76"/>
    <w:rsid w:val="00410460"/>
    <w:rsid w:val="004274C0"/>
    <w:rsid w:val="004343C5"/>
    <w:rsid w:val="00445272"/>
    <w:rsid w:val="0046070A"/>
    <w:rsid w:val="00464CC4"/>
    <w:rsid w:val="00474AF2"/>
    <w:rsid w:val="0047563E"/>
    <w:rsid w:val="00491E33"/>
    <w:rsid w:val="00492B6F"/>
    <w:rsid w:val="004A17E5"/>
    <w:rsid w:val="004A1B9F"/>
    <w:rsid w:val="004A4D01"/>
    <w:rsid w:val="004A575E"/>
    <w:rsid w:val="004C1512"/>
    <w:rsid w:val="004C2E34"/>
    <w:rsid w:val="004C392D"/>
    <w:rsid w:val="004C63F3"/>
    <w:rsid w:val="004D0205"/>
    <w:rsid w:val="004E24DF"/>
    <w:rsid w:val="004F3CB7"/>
    <w:rsid w:val="00503541"/>
    <w:rsid w:val="00504F72"/>
    <w:rsid w:val="00526E78"/>
    <w:rsid w:val="005310FE"/>
    <w:rsid w:val="0053118F"/>
    <w:rsid w:val="00550F73"/>
    <w:rsid w:val="005523CF"/>
    <w:rsid w:val="0055674B"/>
    <w:rsid w:val="00570DE7"/>
    <w:rsid w:val="00571C59"/>
    <w:rsid w:val="00576D79"/>
    <w:rsid w:val="00580CC5"/>
    <w:rsid w:val="0058172A"/>
    <w:rsid w:val="00591297"/>
    <w:rsid w:val="00592AE8"/>
    <w:rsid w:val="00594FAB"/>
    <w:rsid w:val="005964BB"/>
    <w:rsid w:val="005B1ACC"/>
    <w:rsid w:val="005B795E"/>
    <w:rsid w:val="005C0313"/>
    <w:rsid w:val="005C061C"/>
    <w:rsid w:val="005C0C01"/>
    <w:rsid w:val="005C3809"/>
    <w:rsid w:val="005D013C"/>
    <w:rsid w:val="005D0431"/>
    <w:rsid w:val="005D43F0"/>
    <w:rsid w:val="005E12B6"/>
    <w:rsid w:val="005F3BE0"/>
    <w:rsid w:val="005F7D65"/>
    <w:rsid w:val="00606CF2"/>
    <w:rsid w:val="006151E5"/>
    <w:rsid w:val="0063011A"/>
    <w:rsid w:val="00630E68"/>
    <w:rsid w:val="006340E9"/>
    <w:rsid w:val="0064700B"/>
    <w:rsid w:val="00652E0A"/>
    <w:rsid w:val="006551EA"/>
    <w:rsid w:val="00670F67"/>
    <w:rsid w:val="00677F52"/>
    <w:rsid w:val="00686611"/>
    <w:rsid w:val="006A12E6"/>
    <w:rsid w:val="006A268F"/>
    <w:rsid w:val="006B2D54"/>
    <w:rsid w:val="006C0CC7"/>
    <w:rsid w:val="006D1E07"/>
    <w:rsid w:val="006D529A"/>
    <w:rsid w:val="006D5346"/>
    <w:rsid w:val="006E1BA8"/>
    <w:rsid w:val="006E44D3"/>
    <w:rsid w:val="006F14CC"/>
    <w:rsid w:val="006F483D"/>
    <w:rsid w:val="007030FA"/>
    <w:rsid w:val="00711289"/>
    <w:rsid w:val="0071541F"/>
    <w:rsid w:val="007253A1"/>
    <w:rsid w:val="00727CF7"/>
    <w:rsid w:val="00736FC5"/>
    <w:rsid w:val="007410AE"/>
    <w:rsid w:val="00743CAE"/>
    <w:rsid w:val="00744609"/>
    <w:rsid w:val="007501CB"/>
    <w:rsid w:val="0076557C"/>
    <w:rsid w:val="00772452"/>
    <w:rsid w:val="0077291E"/>
    <w:rsid w:val="007819AD"/>
    <w:rsid w:val="007859AD"/>
    <w:rsid w:val="00786580"/>
    <w:rsid w:val="00794A4E"/>
    <w:rsid w:val="007A2999"/>
    <w:rsid w:val="007A57F6"/>
    <w:rsid w:val="007C2FE0"/>
    <w:rsid w:val="007F4A67"/>
    <w:rsid w:val="007F67E8"/>
    <w:rsid w:val="007F78DC"/>
    <w:rsid w:val="00821CF5"/>
    <w:rsid w:val="00821F25"/>
    <w:rsid w:val="00826821"/>
    <w:rsid w:val="00840861"/>
    <w:rsid w:val="008440F8"/>
    <w:rsid w:val="00855480"/>
    <w:rsid w:val="00861D82"/>
    <w:rsid w:val="00865BE5"/>
    <w:rsid w:val="00873062"/>
    <w:rsid w:val="00875F7A"/>
    <w:rsid w:val="008773C0"/>
    <w:rsid w:val="008878C3"/>
    <w:rsid w:val="0089265B"/>
    <w:rsid w:val="008941A5"/>
    <w:rsid w:val="008959A1"/>
    <w:rsid w:val="008B5A1E"/>
    <w:rsid w:val="008C41CD"/>
    <w:rsid w:val="008D2E5A"/>
    <w:rsid w:val="008D6506"/>
    <w:rsid w:val="008F01EE"/>
    <w:rsid w:val="008F1960"/>
    <w:rsid w:val="008F2D5A"/>
    <w:rsid w:val="008F508E"/>
    <w:rsid w:val="00904DB6"/>
    <w:rsid w:val="009151AA"/>
    <w:rsid w:val="00917F46"/>
    <w:rsid w:val="0093523E"/>
    <w:rsid w:val="009436E9"/>
    <w:rsid w:val="00943A96"/>
    <w:rsid w:val="00945480"/>
    <w:rsid w:val="0095244E"/>
    <w:rsid w:val="0097327C"/>
    <w:rsid w:val="00993021"/>
    <w:rsid w:val="009956C0"/>
    <w:rsid w:val="009A0F2A"/>
    <w:rsid w:val="009B083D"/>
    <w:rsid w:val="009B2A70"/>
    <w:rsid w:val="009B64CB"/>
    <w:rsid w:val="009C387B"/>
    <w:rsid w:val="009C7C20"/>
    <w:rsid w:val="009D24B0"/>
    <w:rsid w:val="009D4DB4"/>
    <w:rsid w:val="009D52AA"/>
    <w:rsid w:val="009D7608"/>
    <w:rsid w:val="009F2E29"/>
    <w:rsid w:val="009F5FA0"/>
    <w:rsid w:val="00A00E99"/>
    <w:rsid w:val="00A02C44"/>
    <w:rsid w:val="00A07618"/>
    <w:rsid w:val="00A076FA"/>
    <w:rsid w:val="00A07F32"/>
    <w:rsid w:val="00A120B1"/>
    <w:rsid w:val="00A131D1"/>
    <w:rsid w:val="00A24DF3"/>
    <w:rsid w:val="00A25B05"/>
    <w:rsid w:val="00A27B1B"/>
    <w:rsid w:val="00A301B3"/>
    <w:rsid w:val="00A6097F"/>
    <w:rsid w:val="00A628F6"/>
    <w:rsid w:val="00A66C82"/>
    <w:rsid w:val="00A72714"/>
    <w:rsid w:val="00A77204"/>
    <w:rsid w:val="00A965B7"/>
    <w:rsid w:val="00AA2CD6"/>
    <w:rsid w:val="00AA2ED2"/>
    <w:rsid w:val="00AA4C05"/>
    <w:rsid w:val="00AA6EC4"/>
    <w:rsid w:val="00AB0522"/>
    <w:rsid w:val="00AB35DF"/>
    <w:rsid w:val="00AC0645"/>
    <w:rsid w:val="00AE000E"/>
    <w:rsid w:val="00AE2386"/>
    <w:rsid w:val="00AE5085"/>
    <w:rsid w:val="00AF5F3B"/>
    <w:rsid w:val="00B00F4B"/>
    <w:rsid w:val="00B157A3"/>
    <w:rsid w:val="00B21057"/>
    <w:rsid w:val="00B21ADE"/>
    <w:rsid w:val="00B22891"/>
    <w:rsid w:val="00B23B6C"/>
    <w:rsid w:val="00B23E3E"/>
    <w:rsid w:val="00B403D3"/>
    <w:rsid w:val="00B40FEE"/>
    <w:rsid w:val="00B4436F"/>
    <w:rsid w:val="00B4440A"/>
    <w:rsid w:val="00B4732C"/>
    <w:rsid w:val="00B506B2"/>
    <w:rsid w:val="00B61313"/>
    <w:rsid w:val="00B62C0F"/>
    <w:rsid w:val="00B726ED"/>
    <w:rsid w:val="00B76A3F"/>
    <w:rsid w:val="00B80287"/>
    <w:rsid w:val="00B82B3D"/>
    <w:rsid w:val="00B85E73"/>
    <w:rsid w:val="00B9412E"/>
    <w:rsid w:val="00BA69B7"/>
    <w:rsid w:val="00BB0D00"/>
    <w:rsid w:val="00BB2D3B"/>
    <w:rsid w:val="00BD7CB9"/>
    <w:rsid w:val="00BE112F"/>
    <w:rsid w:val="00BF551D"/>
    <w:rsid w:val="00BF696D"/>
    <w:rsid w:val="00BF7206"/>
    <w:rsid w:val="00C0068C"/>
    <w:rsid w:val="00C07B0D"/>
    <w:rsid w:val="00C26446"/>
    <w:rsid w:val="00C326AE"/>
    <w:rsid w:val="00C367A1"/>
    <w:rsid w:val="00C51EF3"/>
    <w:rsid w:val="00C5343C"/>
    <w:rsid w:val="00C53D39"/>
    <w:rsid w:val="00C61AE9"/>
    <w:rsid w:val="00C61EFB"/>
    <w:rsid w:val="00C82BDA"/>
    <w:rsid w:val="00CB1CD9"/>
    <w:rsid w:val="00CC3213"/>
    <w:rsid w:val="00CC357C"/>
    <w:rsid w:val="00CC4DD1"/>
    <w:rsid w:val="00CD34D9"/>
    <w:rsid w:val="00CE443A"/>
    <w:rsid w:val="00D02389"/>
    <w:rsid w:val="00D02D9B"/>
    <w:rsid w:val="00D06D88"/>
    <w:rsid w:val="00D16DB1"/>
    <w:rsid w:val="00D40CC3"/>
    <w:rsid w:val="00D43811"/>
    <w:rsid w:val="00D45F89"/>
    <w:rsid w:val="00D4770F"/>
    <w:rsid w:val="00D50DEE"/>
    <w:rsid w:val="00D50F19"/>
    <w:rsid w:val="00D53E26"/>
    <w:rsid w:val="00D607BD"/>
    <w:rsid w:val="00D719BC"/>
    <w:rsid w:val="00D81459"/>
    <w:rsid w:val="00D838EA"/>
    <w:rsid w:val="00DA0DEC"/>
    <w:rsid w:val="00DC56E6"/>
    <w:rsid w:val="00DD143B"/>
    <w:rsid w:val="00DF49F0"/>
    <w:rsid w:val="00E00B4F"/>
    <w:rsid w:val="00E05B40"/>
    <w:rsid w:val="00E07E55"/>
    <w:rsid w:val="00E100F9"/>
    <w:rsid w:val="00E12BF4"/>
    <w:rsid w:val="00E14178"/>
    <w:rsid w:val="00E3102C"/>
    <w:rsid w:val="00E43673"/>
    <w:rsid w:val="00E471B3"/>
    <w:rsid w:val="00E53F79"/>
    <w:rsid w:val="00E639A7"/>
    <w:rsid w:val="00E6463C"/>
    <w:rsid w:val="00E87595"/>
    <w:rsid w:val="00E909F6"/>
    <w:rsid w:val="00EA3B43"/>
    <w:rsid w:val="00EA6B2C"/>
    <w:rsid w:val="00EB0AC5"/>
    <w:rsid w:val="00EB4706"/>
    <w:rsid w:val="00EB67D7"/>
    <w:rsid w:val="00EB6BCF"/>
    <w:rsid w:val="00EE326B"/>
    <w:rsid w:val="00EF2968"/>
    <w:rsid w:val="00F02A7B"/>
    <w:rsid w:val="00F233C1"/>
    <w:rsid w:val="00F24B17"/>
    <w:rsid w:val="00F30AA0"/>
    <w:rsid w:val="00F343B2"/>
    <w:rsid w:val="00F35A69"/>
    <w:rsid w:val="00F419FA"/>
    <w:rsid w:val="00F46B6C"/>
    <w:rsid w:val="00F478E8"/>
    <w:rsid w:val="00F62BDB"/>
    <w:rsid w:val="00F75147"/>
    <w:rsid w:val="00F75933"/>
    <w:rsid w:val="00F80145"/>
    <w:rsid w:val="00F81A7F"/>
    <w:rsid w:val="00F938CF"/>
    <w:rsid w:val="00F93D8F"/>
    <w:rsid w:val="00F945B4"/>
    <w:rsid w:val="00FA2446"/>
    <w:rsid w:val="00FA3796"/>
    <w:rsid w:val="00FA6E44"/>
    <w:rsid w:val="00FB2E4B"/>
    <w:rsid w:val="00FC0B5C"/>
    <w:rsid w:val="00FC213C"/>
    <w:rsid w:val="00FC4750"/>
    <w:rsid w:val="00FD2753"/>
    <w:rsid w:val="00FD5EC4"/>
    <w:rsid w:val="00FE6776"/>
    <w:rsid w:val="44581863"/>
    <w:rsid w:val="4490864B"/>
    <w:rsid w:val="4895B1C2"/>
    <w:rsid w:val="5AA76EE9"/>
    <w:rsid w:val="6A3F82A4"/>
    <w:rsid w:val="6CA2A816"/>
    <w:rsid w:val="730E84B4"/>
    <w:rsid w:val="73F67C8C"/>
    <w:rsid w:val="751721FD"/>
    <w:rsid w:val="7CEBD7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D4DD94"/>
  <w15:chartTrackingRefBased/>
  <w15:docId w15:val="{1644DB53-79D6-4492-A52F-20C1AC62E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B79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B79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B795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B795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B79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B79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79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79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79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79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B79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B79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B79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B79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B79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79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79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795E"/>
    <w:rPr>
      <w:rFonts w:eastAsiaTheme="majorEastAsia" w:cstheme="majorBidi"/>
      <w:color w:val="272727" w:themeColor="text1" w:themeTint="D8"/>
    </w:rPr>
  </w:style>
  <w:style w:type="paragraph" w:styleId="Title">
    <w:name w:val="Title"/>
    <w:basedOn w:val="Normal"/>
    <w:next w:val="Normal"/>
    <w:link w:val="TitleChar"/>
    <w:uiPriority w:val="10"/>
    <w:qFormat/>
    <w:rsid w:val="005B79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79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79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79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795E"/>
    <w:pPr>
      <w:spacing w:before="160"/>
      <w:jc w:val="center"/>
    </w:pPr>
    <w:rPr>
      <w:i/>
      <w:iCs/>
      <w:color w:val="404040" w:themeColor="text1" w:themeTint="BF"/>
    </w:rPr>
  </w:style>
  <w:style w:type="character" w:customStyle="1" w:styleId="QuoteChar">
    <w:name w:val="Quote Char"/>
    <w:basedOn w:val="DefaultParagraphFont"/>
    <w:link w:val="Quote"/>
    <w:uiPriority w:val="29"/>
    <w:rsid w:val="005B795E"/>
    <w:rPr>
      <w:i/>
      <w:iCs/>
      <w:color w:val="404040" w:themeColor="text1" w:themeTint="BF"/>
    </w:rPr>
  </w:style>
  <w:style w:type="paragraph" w:styleId="ListParagraph">
    <w:name w:val="List Paragraph"/>
    <w:basedOn w:val="Normal"/>
    <w:uiPriority w:val="34"/>
    <w:qFormat/>
    <w:rsid w:val="005B795E"/>
    <w:pPr>
      <w:ind w:left="720"/>
      <w:contextualSpacing/>
    </w:pPr>
  </w:style>
  <w:style w:type="character" w:styleId="IntenseEmphasis">
    <w:name w:val="Intense Emphasis"/>
    <w:basedOn w:val="DefaultParagraphFont"/>
    <w:uiPriority w:val="21"/>
    <w:qFormat/>
    <w:rsid w:val="005B795E"/>
    <w:rPr>
      <w:i/>
      <w:iCs/>
      <w:color w:val="0F4761" w:themeColor="accent1" w:themeShade="BF"/>
    </w:rPr>
  </w:style>
  <w:style w:type="paragraph" w:styleId="IntenseQuote">
    <w:name w:val="Intense Quote"/>
    <w:basedOn w:val="Normal"/>
    <w:next w:val="Normal"/>
    <w:link w:val="IntenseQuoteChar"/>
    <w:uiPriority w:val="30"/>
    <w:qFormat/>
    <w:rsid w:val="005B79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B795E"/>
    <w:rPr>
      <w:i/>
      <w:iCs/>
      <w:color w:val="0F4761" w:themeColor="accent1" w:themeShade="BF"/>
    </w:rPr>
  </w:style>
  <w:style w:type="character" w:styleId="IntenseReference">
    <w:name w:val="Intense Reference"/>
    <w:basedOn w:val="DefaultParagraphFont"/>
    <w:uiPriority w:val="32"/>
    <w:qFormat/>
    <w:rsid w:val="005B795E"/>
    <w:rPr>
      <w:b/>
      <w:bCs/>
      <w:smallCaps/>
      <w:color w:val="0F4761" w:themeColor="accent1" w:themeShade="BF"/>
      <w:spacing w:val="5"/>
    </w:rPr>
  </w:style>
  <w:style w:type="character" w:styleId="Hyperlink">
    <w:name w:val="Hyperlink"/>
    <w:basedOn w:val="DefaultParagraphFont"/>
    <w:uiPriority w:val="99"/>
    <w:unhideWhenUsed/>
    <w:rsid w:val="00407929"/>
    <w:rPr>
      <w:color w:val="467886" w:themeColor="hyperlink"/>
      <w:u w:val="single"/>
    </w:rPr>
  </w:style>
  <w:style w:type="character" w:styleId="UnresolvedMention">
    <w:name w:val="Unresolved Mention"/>
    <w:basedOn w:val="DefaultParagraphFont"/>
    <w:uiPriority w:val="99"/>
    <w:semiHidden/>
    <w:unhideWhenUsed/>
    <w:rsid w:val="00407929"/>
    <w:rPr>
      <w:color w:val="605E5C"/>
      <w:shd w:val="clear" w:color="auto" w:fill="E1DFDD"/>
    </w:rPr>
  </w:style>
  <w:style w:type="character" w:styleId="FollowedHyperlink">
    <w:name w:val="FollowedHyperlink"/>
    <w:basedOn w:val="DefaultParagraphFont"/>
    <w:uiPriority w:val="99"/>
    <w:semiHidden/>
    <w:unhideWhenUsed/>
    <w:rsid w:val="007030FA"/>
    <w:rPr>
      <w:color w:val="96607D" w:themeColor="followedHyperlink"/>
      <w:u w:val="single"/>
    </w:rPr>
  </w:style>
  <w:style w:type="paragraph" w:styleId="Header">
    <w:name w:val="header"/>
    <w:basedOn w:val="Normal"/>
    <w:link w:val="HeaderChar"/>
    <w:uiPriority w:val="99"/>
    <w:unhideWhenUsed/>
    <w:rsid w:val="000F18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847"/>
  </w:style>
  <w:style w:type="paragraph" w:styleId="Footer">
    <w:name w:val="footer"/>
    <w:basedOn w:val="Normal"/>
    <w:link w:val="FooterChar"/>
    <w:uiPriority w:val="99"/>
    <w:unhideWhenUsed/>
    <w:rsid w:val="000F18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847"/>
  </w:style>
  <w:style w:type="paragraph" w:styleId="Revision">
    <w:name w:val="Revision"/>
    <w:hidden/>
    <w:uiPriority w:val="99"/>
    <w:semiHidden/>
    <w:rsid w:val="00B23E3E"/>
    <w:pPr>
      <w:spacing w:after="0" w:line="240" w:lineRule="auto"/>
    </w:pPr>
  </w:style>
  <w:style w:type="character" w:styleId="CommentReference">
    <w:name w:val="annotation reference"/>
    <w:basedOn w:val="DefaultParagraphFont"/>
    <w:uiPriority w:val="99"/>
    <w:semiHidden/>
    <w:unhideWhenUsed/>
    <w:rsid w:val="00A628F6"/>
    <w:rPr>
      <w:sz w:val="16"/>
      <w:szCs w:val="16"/>
    </w:rPr>
  </w:style>
  <w:style w:type="paragraph" w:styleId="CommentText">
    <w:name w:val="annotation text"/>
    <w:basedOn w:val="Normal"/>
    <w:link w:val="CommentTextChar"/>
    <w:uiPriority w:val="99"/>
    <w:unhideWhenUsed/>
    <w:rsid w:val="00A628F6"/>
    <w:pPr>
      <w:spacing w:line="240" w:lineRule="auto"/>
    </w:pPr>
    <w:rPr>
      <w:sz w:val="20"/>
      <w:szCs w:val="20"/>
    </w:rPr>
  </w:style>
  <w:style w:type="character" w:customStyle="1" w:styleId="CommentTextChar">
    <w:name w:val="Comment Text Char"/>
    <w:basedOn w:val="DefaultParagraphFont"/>
    <w:link w:val="CommentText"/>
    <w:uiPriority w:val="99"/>
    <w:rsid w:val="00A628F6"/>
    <w:rPr>
      <w:sz w:val="20"/>
      <w:szCs w:val="20"/>
    </w:rPr>
  </w:style>
  <w:style w:type="paragraph" w:styleId="CommentSubject">
    <w:name w:val="annotation subject"/>
    <w:basedOn w:val="CommentText"/>
    <w:next w:val="CommentText"/>
    <w:link w:val="CommentSubjectChar"/>
    <w:uiPriority w:val="99"/>
    <w:semiHidden/>
    <w:unhideWhenUsed/>
    <w:rsid w:val="00A628F6"/>
    <w:rPr>
      <w:b/>
      <w:bCs/>
    </w:rPr>
  </w:style>
  <w:style w:type="character" w:customStyle="1" w:styleId="CommentSubjectChar">
    <w:name w:val="Comment Subject Char"/>
    <w:basedOn w:val="CommentTextChar"/>
    <w:link w:val="CommentSubject"/>
    <w:uiPriority w:val="99"/>
    <w:semiHidden/>
    <w:rsid w:val="00A628F6"/>
    <w:rPr>
      <w:b/>
      <w:bCs/>
      <w:sz w:val="20"/>
      <w:szCs w:val="20"/>
    </w:rPr>
  </w:style>
  <w:style w:type="character" w:styleId="Mention">
    <w:name w:val="Mention"/>
    <w:basedOn w:val="DefaultParagraphFont"/>
    <w:uiPriority w:val="99"/>
    <w:unhideWhenUsed/>
    <w:rsid w:val="00D838E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fns.usda.gov/snap/waivers/foodrestriction" TargetMode="External"/><Relationship Id="rId18" Type="http://schemas.openxmlformats.org/officeDocument/2006/relationships/hyperlink" Target="https://ciceroinstitute.org/wp-content/uploads/2024/12/50-State-CON-Rankings-Report-12-5-2024.pdf" TargetMode="External"/><Relationship Id="rId26" Type="http://schemas.openxmlformats.org/officeDocument/2006/relationships/hyperlink" Target="https://www.pacompact.org/" TargetMode="External"/><Relationship Id="rId39" Type="http://schemas.openxmlformats.org/officeDocument/2006/relationships/header" Target="header1.xml"/><Relationship Id="rId21" Type="http://schemas.openxmlformats.org/officeDocument/2006/relationships/hyperlink" Target="https://imlcc.com/" TargetMode="External"/><Relationship Id="rId34" Type="http://schemas.openxmlformats.org/officeDocument/2006/relationships/hyperlink" Target="https://www.cdc.gov/nchs/data/nhsr/nhsr168.pdf" TargetMode="External"/><Relationship Id="rId42" Type="http://schemas.openxmlformats.org/officeDocument/2006/relationships/footer" Target="footer2.xml"/><Relationship Id="rId7" Type="http://schemas.openxmlformats.org/officeDocument/2006/relationships/hyperlink" Target="https://www.grants.gov/search-results-detail/360442" TargetMode="External"/><Relationship Id="rId2" Type="http://schemas.openxmlformats.org/officeDocument/2006/relationships/styles" Target="styles.xml"/><Relationship Id="rId16" Type="http://schemas.openxmlformats.org/officeDocument/2006/relationships/hyperlink" Target="https://www.cdc.gov/pcd/issues/2025/25_0202.htm" TargetMode="External"/><Relationship Id="rId29" Type="http://schemas.openxmlformats.org/officeDocument/2006/relationships/hyperlink" Target="https://ciceroinstitute.org/research/2025-policy-strategies-for-full-practice-authority/"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dc.gov/pcd/issues/2025/25_0202.htm" TargetMode="External"/><Relationship Id="rId24" Type="http://schemas.openxmlformats.org/officeDocument/2006/relationships/hyperlink" Target="https://www.emscompact.gov/the-commission/compact-governance/replica-model-legislation" TargetMode="External"/><Relationship Id="rId32" Type="http://schemas.openxmlformats.org/officeDocument/2006/relationships/hyperlink" Target="https://www.ecfr.gov/current/title-45/subtitle-A/subchapter-B/part-144/subpart-A/section-144.103" TargetMode="External"/><Relationship Id="rId37" Type="http://schemas.openxmlformats.org/officeDocument/2006/relationships/hyperlink" Target="https://www.ruralhealthinfo.org/toolkits/telehealth/1/barriers" TargetMode="External"/><Relationship Id="rId40" Type="http://schemas.openxmlformats.org/officeDocument/2006/relationships/header" Target="header2.xm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capitol.texas.gov/tlodocs/89R/billtext/pdf/SB00025I.pdf" TargetMode="External"/><Relationship Id="rId23" Type="http://schemas.openxmlformats.org/officeDocument/2006/relationships/hyperlink" Target="https://emscompact.gov/" TargetMode="External"/><Relationship Id="rId28" Type="http://schemas.openxmlformats.org/officeDocument/2006/relationships/hyperlink" Target="https://www.aanp.org/advocacy/state/state-practice-environment" TargetMode="External"/><Relationship Id="rId36" Type="http://schemas.openxmlformats.org/officeDocument/2006/relationships/hyperlink" Target="https://www.ruralhealthinfo.org/topics/healthcare-access" TargetMode="External"/><Relationship Id="rId10" Type="http://schemas.openxmlformats.org/officeDocument/2006/relationships/hyperlink" Target="mailto:Wenona.padgett@hca.nm.gov" TargetMode="External"/><Relationship Id="rId19" Type="http://schemas.openxmlformats.org/officeDocument/2006/relationships/hyperlink" Target="https://pmc.ncbi.nlm.nih.gov/articles/PMC11088301/" TargetMode="External"/><Relationship Id="rId31" Type="http://schemas.openxmlformats.org/officeDocument/2006/relationships/hyperlink" Target="https://www.hhs.gov/sites/default/files/Reforming-Americas-Healthcare-System-Through-Choice-and-Competition.pdf" TargetMode="External"/><Relationship Id="rId44"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www.hsd.state.nm.us/lookingforinformation/open-rfps/" TargetMode="External"/><Relationship Id="rId14" Type="http://schemas.openxmlformats.org/officeDocument/2006/relationships/hyperlink" Target="https://legis.la.gov/legis/ViewDocument.aspx?d=1426851" TargetMode="External"/><Relationship Id="rId22" Type="http://schemas.openxmlformats.org/officeDocument/2006/relationships/hyperlink" Target="https://www.nursecompact.com/" TargetMode="External"/><Relationship Id="rId27" Type="http://schemas.openxmlformats.org/officeDocument/2006/relationships/hyperlink" Target="https://www.aapa.org/advocacy-central/state-advocacy/state-maps/pa-state-practice-environment/" TargetMode="External"/><Relationship Id="rId30" Type="http://schemas.openxmlformats.org/officeDocument/2006/relationships/hyperlink" Target="https://oralhealthworkforce.org/infographics/variation-in-dental-hygiene-scope-of-practice-by-state/" TargetMode="External"/><Relationship Id="rId35" Type="http://schemas.openxmlformats.org/officeDocument/2006/relationships/hyperlink" Target="https://www.cchpca.org/resources/state-telehealth-laws-and-reimbursement-policies-report-fall-2024/" TargetMode="External"/><Relationship Id="rId43" Type="http://schemas.openxmlformats.org/officeDocument/2006/relationships/header" Target="header3.xml"/><Relationship Id="rId8" Type="http://schemas.openxmlformats.org/officeDocument/2006/relationships/hyperlink" Target="https://newmexicohsd.bonfirehub.com/portal/?tab=openOpportunities" TargetMode="External"/><Relationship Id="rId3" Type="http://schemas.openxmlformats.org/officeDocument/2006/relationships/settings" Target="settings.xml"/><Relationship Id="rId12" Type="http://schemas.openxmlformats.org/officeDocument/2006/relationships/hyperlink" Target="https://pmc.ncbi.nlm.nih.gov/articles/PMC7504289/" TargetMode="External"/><Relationship Id="rId17" Type="http://schemas.openxmlformats.org/officeDocument/2006/relationships/hyperlink" Target="https://pubmed.ncbi.nlm.nih.gov/39424228/" TargetMode="External"/><Relationship Id="rId25" Type="http://schemas.openxmlformats.org/officeDocument/2006/relationships/hyperlink" Target="https://psypact.gov/page/psypactmap" TargetMode="External"/><Relationship Id="rId33" Type="http://schemas.openxmlformats.org/officeDocument/2006/relationships/hyperlink" Target="https://www.ruralhealthinfo.org/topics/healthcare-access" TargetMode="External"/><Relationship Id="rId38" Type="http://schemas.openxmlformats.org/officeDocument/2006/relationships/hyperlink" Target="https://pmc.ncbi.nlm.nih.gov/articles/PMC8430850/" TargetMode="External"/><Relationship Id="rId46" Type="http://schemas.openxmlformats.org/officeDocument/2006/relationships/theme" Target="theme/theme1.xml"/><Relationship Id="rId20" Type="http://schemas.openxmlformats.org/officeDocument/2006/relationships/hyperlink" Target="https://www.mercatus.org/economic-insights/features/certificate-need-laws-how-they-affect-healthcare-access-quality-and-cost" TargetMode="External"/><Relationship Id="rId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04aa6bf4-d436-426f-bfa4-04b7a70e60ff}" enabled="0" method="" siteId="{04aa6bf4-d436-426f-bfa4-04b7a70e60ff}"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4883</Words>
  <Characters>27008</Characters>
  <Application>Microsoft Office Word</Application>
  <DocSecurity>0</DocSecurity>
  <Lines>600</Lines>
  <Paragraphs>295</Paragraphs>
  <ScaleCrop>false</ScaleCrop>
  <Company/>
  <LinksUpToDate>false</LinksUpToDate>
  <CharactersWithSpaces>31596</CharactersWithSpaces>
  <SharedDoc>false</SharedDoc>
  <HLinks>
    <vt:vector size="192" baseType="variant">
      <vt:variant>
        <vt:i4>1966098</vt:i4>
      </vt:variant>
      <vt:variant>
        <vt:i4>93</vt:i4>
      </vt:variant>
      <vt:variant>
        <vt:i4>0</vt:i4>
      </vt:variant>
      <vt:variant>
        <vt:i4>5</vt:i4>
      </vt:variant>
      <vt:variant>
        <vt:lpwstr>https://pmc.ncbi.nlm.nih.gov/articles/PMC8430850/</vt:lpwstr>
      </vt:variant>
      <vt:variant>
        <vt:lpwstr/>
      </vt:variant>
      <vt:variant>
        <vt:i4>2359348</vt:i4>
      </vt:variant>
      <vt:variant>
        <vt:i4>90</vt:i4>
      </vt:variant>
      <vt:variant>
        <vt:i4>0</vt:i4>
      </vt:variant>
      <vt:variant>
        <vt:i4>5</vt:i4>
      </vt:variant>
      <vt:variant>
        <vt:lpwstr>https://www.ruralhealthinfo.org/toolkits/telehealth/1/barriers</vt:lpwstr>
      </vt:variant>
      <vt:variant>
        <vt:lpwstr/>
      </vt:variant>
      <vt:variant>
        <vt:i4>1638419</vt:i4>
      </vt:variant>
      <vt:variant>
        <vt:i4>87</vt:i4>
      </vt:variant>
      <vt:variant>
        <vt:i4>0</vt:i4>
      </vt:variant>
      <vt:variant>
        <vt:i4>5</vt:i4>
      </vt:variant>
      <vt:variant>
        <vt:lpwstr>https://www.ruralhealthinfo.org/topics/healthcare-access</vt:lpwstr>
      </vt:variant>
      <vt:variant>
        <vt:lpwstr>barriers</vt:lpwstr>
      </vt:variant>
      <vt:variant>
        <vt:i4>7012412</vt:i4>
      </vt:variant>
      <vt:variant>
        <vt:i4>84</vt:i4>
      </vt:variant>
      <vt:variant>
        <vt:i4>0</vt:i4>
      </vt:variant>
      <vt:variant>
        <vt:i4>5</vt:i4>
      </vt:variant>
      <vt:variant>
        <vt:lpwstr>https://www.cchpca.org/resources/state-telehealth-laws-and-reimbursement-policies-report-fall-2024/</vt:lpwstr>
      </vt:variant>
      <vt:variant>
        <vt:lpwstr/>
      </vt:variant>
      <vt:variant>
        <vt:i4>7667756</vt:i4>
      </vt:variant>
      <vt:variant>
        <vt:i4>81</vt:i4>
      </vt:variant>
      <vt:variant>
        <vt:i4>0</vt:i4>
      </vt:variant>
      <vt:variant>
        <vt:i4>5</vt:i4>
      </vt:variant>
      <vt:variant>
        <vt:lpwstr>https://www.cdc.gov/nchs/data/nhsr/nhsr168.pdf</vt:lpwstr>
      </vt:variant>
      <vt:variant>
        <vt:lpwstr/>
      </vt:variant>
      <vt:variant>
        <vt:i4>1835032</vt:i4>
      </vt:variant>
      <vt:variant>
        <vt:i4>78</vt:i4>
      </vt:variant>
      <vt:variant>
        <vt:i4>0</vt:i4>
      </vt:variant>
      <vt:variant>
        <vt:i4>5</vt:i4>
      </vt:variant>
      <vt:variant>
        <vt:lpwstr>https://www.ruralhealthinfo.org/topics/healthcare-access</vt:lpwstr>
      </vt:variant>
      <vt:variant>
        <vt:lpwstr/>
      </vt:variant>
      <vt:variant>
        <vt:i4>5701709</vt:i4>
      </vt:variant>
      <vt:variant>
        <vt:i4>75</vt:i4>
      </vt:variant>
      <vt:variant>
        <vt:i4>0</vt:i4>
      </vt:variant>
      <vt:variant>
        <vt:i4>5</vt:i4>
      </vt:variant>
      <vt:variant>
        <vt:lpwstr>https://www.ecfr.gov/current/title-45/subtitle-A/subchapter-B/part-144/subpart-A/section-144.103</vt:lpwstr>
      </vt:variant>
      <vt:variant>
        <vt:lpwstr>p-144.103(Short-term%20limited-duration%20insurance)</vt:lpwstr>
      </vt:variant>
      <vt:variant>
        <vt:i4>2293881</vt:i4>
      </vt:variant>
      <vt:variant>
        <vt:i4>72</vt:i4>
      </vt:variant>
      <vt:variant>
        <vt:i4>0</vt:i4>
      </vt:variant>
      <vt:variant>
        <vt:i4>5</vt:i4>
      </vt:variant>
      <vt:variant>
        <vt:lpwstr>https://www.hhs.gov/sites/default/files/Reforming-Americas-Healthcare-System-Through-Choice-and-Competition.pdf</vt:lpwstr>
      </vt:variant>
      <vt:variant>
        <vt:lpwstr/>
      </vt:variant>
      <vt:variant>
        <vt:i4>1966170</vt:i4>
      </vt:variant>
      <vt:variant>
        <vt:i4>69</vt:i4>
      </vt:variant>
      <vt:variant>
        <vt:i4>0</vt:i4>
      </vt:variant>
      <vt:variant>
        <vt:i4>5</vt:i4>
      </vt:variant>
      <vt:variant>
        <vt:lpwstr>https://oralhealthworkforce.org/infographics/variation-in-dental-hygiene-scope-of-practice-by-state/</vt:lpwstr>
      </vt:variant>
      <vt:variant>
        <vt:lpwstr/>
      </vt:variant>
      <vt:variant>
        <vt:i4>5046284</vt:i4>
      </vt:variant>
      <vt:variant>
        <vt:i4>66</vt:i4>
      </vt:variant>
      <vt:variant>
        <vt:i4>0</vt:i4>
      </vt:variant>
      <vt:variant>
        <vt:i4>5</vt:i4>
      </vt:variant>
      <vt:variant>
        <vt:lpwstr>https://ciceroinstitute.org/research/2025-policy-strategies-for-full-practice-authority/</vt:lpwstr>
      </vt:variant>
      <vt:variant>
        <vt:lpwstr/>
      </vt:variant>
      <vt:variant>
        <vt:i4>6815855</vt:i4>
      </vt:variant>
      <vt:variant>
        <vt:i4>63</vt:i4>
      </vt:variant>
      <vt:variant>
        <vt:i4>0</vt:i4>
      </vt:variant>
      <vt:variant>
        <vt:i4>5</vt:i4>
      </vt:variant>
      <vt:variant>
        <vt:lpwstr>https://www.aanp.org/advocacy/state/state-practice-environment</vt:lpwstr>
      </vt:variant>
      <vt:variant>
        <vt:lpwstr/>
      </vt:variant>
      <vt:variant>
        <vt:i4>2555937</vt:i4>
      </vt:variant>
      <vt:variant>
        <vt:i4>60</vt:i4>
      </vt:variant>
      <vt:variant>
        <vt:i4>0</vt:i4>
      </vt:variant>
      <vt:variant>
        <vt:i4>5</vt:i4>
      </vt:variant>
      <vt:variant>
        <vt:lpwstr>https://www.aapa.org/advocacy-central/state-advocacy/state-maps/pa-state-practice-environment/</vt:lpwstr>
      </vt:variant>
      <vt:variant>
        <vt:lpwstr/>
      </vt:variant>
      <vt:variant>
        <vt:i4>5898316</vt:i4>
      </vt:variant>
      <vt:variant>
        <vt:i4>57</vt:i4>
      </vt:variant>
      <vt:variant>
        <vt:i4>0</vt:i4>
      </vt:variant>
      <vt:variant>
        <vt:i4>5</vt:i4>
      </vt:variant>
      <vt:variant>
        <vt:lpwstr>https://www.pacompact.org/</vt:lpwstr>
      </vt:variant>
      <vt:variant>
        <vt:lpwstr>compact</vt:lpwstr>
      </vt:variant>
      <vt:variant>
        <vt:i4>6684792</vt:i4>
      </vt:variant>
      <vt:variant>
        <vt:i4>54</vt:i4>
      </vt:variant>
      <vt:variant>
        <vt:i4>0</vt:i4>
      </vt:variant>
      <vt:variant>
        <vt:i4>5</vt:i4>
      </vt:variant>
      <vt:variant>
        <vt:lpwstr>https://psypact.gov/page/psypactmap</vt:lpwstr>
      </vt:variant>
      <vt:variant>
        <vt:lpwstr/>
      </vt:variant>
      <vt:variant>
        <vt:i4>5505110</vt:i4>
      </vt:variant>
      <vt:variant>
        <vt:i4>51</vt:i4>
      </vt:variant>
      <vt:variant>
        <vt:i4>0</vt:i4>
      </vt:variant>
      <vt:variant>
        <vt:i4>5</vt:i4>
      </vt:variant>
      <vt:variant>
        <vt:lpwstr>https://www.emscompact.gov/the-commission/compact-governance/replica-model-legislation</vt:lpwstr>
      </vt:variant>
      <vt:variant>
        <vt:lpwstr>download-model-legislation</vt:lpwstr>
      </vt:variant>
      <vt:variant>
        <vt:i4>7733355</vt:i4>
      </vt:variant>
      <vt:variant>
        <vt:i4>48</vt:i4>
      </vt:variant>
      <vt:variant>
        <vt:i4>0</vt:i4>
      </vt:variant>
      <vt:variant>
        <vt:i4>5</vt:i4>
      </vt:variant>
      <vt:variant>
        <vt:lpwstr>https://emscompact.gov/</vt:lpwstr>
      </vt:variant>
      <vt:variant>
        <vt:lpwstr/>
      </vt:variant>
      <vt:variant>
        <vt:i4>5963780</vt:i4>
      </vt:variant>
      <vt:variant>
        <vt:i4>45</vt:i4>
      </vt:variant>
      <vt:variant>
        <vt:i4>0</vt:i4>
      </vt:variant>
      <vt:variant>
        <vt:i4>5</vt:i4>
      </vt:variant>
      <vt:variant>
        <vt:lpwstr>https://www.nursecompact.com/</vt:lpwstr>
      </vt:variant>
      <vt:variant>
        <vt:lpwstr/>
      </vt:variant>
      <vt:variant>
        <vt:i4>7405608</vt:i4>
      </vt:variant>
      <vt:variant>
        <vt:i4>42</vt:i4>
      </vt:variant>
      <vt:variant>
        <vt:i4>0</vt:i4>
      </vt:variant>
      <vt:variant>
        <vt:i4>5</vt:i4>
      </vt:variant>
      <vt:variant>
        <vt:lpwstr>https://imlcc.com/</vt:lpwstr>
      </vt:variant>
      <vt:variant>
        <vt:lpwstr/>
      </vt:variant>
      <vt:variant>
        <vt:i4>327749</vt:i4>
      </vt:variant>
      <vt:variant>
        <vt:i4>39</vt:i4>
      </vt:variant>
      <vt:variant>
        <vt:i4>0</vt:i4>
      </vt:variant>
      <vt:variant>
        <vt:i4>5</vt:i4>
      </vt:variant>
      <vt:variant>
        <vt:lpwstr>https://www.mercatus.org/economic-insights/features/certificate-need-laws-how-they-affect-healthcare-access-quality-and-cost</vt:lpwstr>
      </vt:variant>
      <vt:variant>
        <vt:lpwstr>2392643287-295791688</vt:lpwstr>
      </vt:variant>
      <vt:variant>
        <vt:i4>3866664</vt:i4>
      </vt:variant>
      <vt:variant>
        <vt:i4>36</vt:i4>
      </vt:variant>
      <vt:variant>
        <vt:i4>0</vt:i4>
      </vt:variant>
      <vt:variant>
        <vt:i4>5</vt:i4>
      </vt:variant>
      <vt:variant>
        <vt:lpwstr>https://pmc.ncbi.nlm.nih.gov/articles/PMC11088301/</vt:lpwstr>
      </vt:variant>
      <vt:variant>
        <vt:lpwstr/>
      </vt:variant>
      <vt:variant>
        <vt:i4>1114201</vt:i4>
      </vt:variant>
      <vt:variant>
        <vt:i4>33</vt:i4>
      </vt:variant>
      <vt:variant>
        <vt:i4>0</vt:i4>
      </vt:variant>
      <vt:variant>
        <vt:i4>5</vt:i4>
      </vt:variant>
      <vt:variant>
        <vt:lpwstr>https://ciceroinstitute.org/wp-content/uploads/2024/12/50-State-CON-Rankings-Report-12-5-2024.pdf</vt:lpwstr>
      </vt:variant>
      <vt:variant>
        <vt:lpwstr/>
      </vt:variant>
      <vt:variant>
        <vt:i4>720902</vt:i4>
      </vt:variant>
      <vt:variant>
        <vt:i4>30</vt:i4>
      </vt:variant>
      <vt:variant>
        <vt:i4>0</vt:i4>
      </vt:variant>
      <vt:variant>
        <vt:i4>5</vt:i4>
      </vt:variant>
      <vt:variant>
        <vt:lpwstr>https://pubmed.ncbi.nlm.nih.gov/39424228/</vt:lpwstr>
      </vt:variant>
      <vt:variant>
        <vt:lpwstr/>
      </vt:variant>
      <vt:variant>
        <vt:i4>3866645</vt:i4>
      </vt:variant>
      <vt:variant>
        <vt:i4>27</vt:i4>
      </vt:variant>
      <vt:variant>
        <vt:i4>0</vt:i4>
      </vt:variant>
      <vt:variant>
        <vt:i4>5</vt:i4>
      </vt:variant>
      <vt:variant>
        <vt:lpwstr>https://www.cdc.gov/pcd/issues/2025/25_0202.htm</vt:lpwstr>
      </vt:variant>
      <vt:variant>
        <vt:lpwstr/>
      </vt:variant>
      <vt:variant>
        <vt:i4>7209079</vt:i4>
      </vt:variant>
      <vt:variant>
        <vt:i4>24</vt:i4>
      </vt:variant>
      <vt:variant>
        <vt:i4>0</vt:i4>
      </vt:variant>
      <vt:variant>
        <vt:i4>5</vt:i4>
      </vt:variant>
      <vt:variant>
        <vt:lpwstr>https://capitol.texas.gov/tlodocs/89R/billtext/pdf/SB00025I.pdf</vt:lpwstr>
      </vt:variant>
      <vt:variant>
        <vt:lpwstr/>
      </vt:variant>
      <vt:variant>
        <vt:i4>6750248</vt:i4>
      </vt:variant>
      <vt:variant>
        <vt:i4>21</vt:i4>
      </vt:variant>
      <vt:variant>
        <vt:i4>0</vt:i4>
      </vt:variant>
      <vt:variant>
        <vt:i4>5</vt:i4>
      </vt:variant>
      <vt:variant>
        <vt:lpwstr>https://legis.la.gov/legis/ViewDocument.aspx?d=1426851</vt:lpwstr>
      </vt:variant>
      <vt:variant>
        <vt:lpwstr/>
      </vt:variant>
      <vt:variant>
        <vt:i4>1310796</vt:i4>
      </vt:variant>
      <vt:variant>
        <vt:i4>18</vt:i4>
      </vt:variant>
      <vt:variant>
        <vt:i4>0</vt:i4>
      </vt:variant>
      <vt:variant>
        <vt:i4>5</vt:i4>
      </vt:variant>
      <vt:variant>
        <vt:lpwstr>https://www.fns.usda.gov/snap/waivers/foodrestriction</vt:lpwstr>
      </vt:variant>
      <vt:variant>
        <vt:lpwstr/>
      </vt:variant>
      <vt:variant>
        <vt:i4>1114138</vt:i4>
      </vt:variant>
      <vt:variant>
        <vt:i4>15</vt:i4>
      </vt:variant>
      <vt:variant>
        <vt:i4>0</vt:i4>
      </vt:variant>
      <vt:variant>
        <vt:i4>5</vt:i4>
      </vt:variant>
      <vt:variant>
        <vt:lpwstr>https://pmc.ncbi.nlm.nih.gov/articles/PMC7504289/</vt:lpwstr>
      </vt:variant>
      <vt:variant>
        <vt:lpwstr/>
      </vt:variant>
      <vt:variant>
        <vt:i4>3866645</vt:i4>
      </vt:variant>
      <vt:variant>
        <vt:i4>12</vt:i4>
      </vt:variant>
      <vt:variant>
        <vt:i4>0</vt:i4>
      </vt:variant>
      <vt:variant>
        <vt:i4>5</vt:i4>
      </vt:variant>
      <vt:variant>
        <vt:lpwstr>https://www.cdc.gov/pcd/issues/2025/25_0202.htm</vt:lpwstr>
      </vt:variant>
      <vt:variant>
        <vt:lpwstr/>
      </vt:variant>
      <vt:variant>
        <vt:i4>3670018</vt:i4>
      </vt:variant>
      <vt:variant>
        <vt:i4>9</vt:i4>
      </vt:variant>
      <vt:variant>
        <vt:i4>0</vt:i4>
      </vt:variant>
      <vt:variant>
        <vt:i4>5</vt:i4>
      </vt:variant>
      <vt:variant>
        <vt:lpwstr>mailto:Wenona.padgett@hca.nm.gov</vt:lpwstr>
      </vt:variant>
      <vt:variant>
        <vt:lpwstr/>
      </vt:variant>
      <vt:variant>
        <vt:i4>1638467</vt:i4>
      </vt:variant>
      <vt:variant>
        <vt:i4>6</vt:i4>
      </vt:variant>
      <vt:variant>
        <vt:i4>0</vt:i4>
      </vt:variant>
      <vt:variant>
        <vt:i4>5</vt:i4>
      </vt:variant>
      <vt:variant>
        <vt:lpwstr>https://www.hsd.state.nm.us/lookingforinformation/open-rfps/</vt:lpwstr>
      </vt:variant>
      <vt:variant>
        <vt:lpwstr/>
      </vt:variant>
      <vt:variant>
        <vt:i4>720976</vt:i4>
      </vt:variant>
      <vt:variant>
        <vt:i4>3</vt:i4>
      </vt:variant>
      <vt:variant>
        <vt:i4>0</vt:i4>
      </vt:variant>
      <vt:variant>
        <vt:i4>5</vt:i4>
      </vt:variant>
      <vt:variant>
        <vt:lpwstr>https://newmexicohsd.bonfirehub.com/portal/?tab=openOpportunities</vt:lpwstr>
      </vt:variant>
      <vt:variant>
        <vt:lpwstr/>
      </vt:variant>
      <vt:variant>
        <vt:i4>8126569</vt:i4>
      </vt:variant>
      <vt:variant>
        <vt:i4>0</vt:i4>
      </vt:variant>
      <vt:variant>
        <vt:i4>0</vt:i4>
      </vt:variant>
      <vt:variant>
        <vt:i4>5</vt:i4>
      </vt:variant>
      <vt:variant>
        <vt:lpwstr>https://www.grants.gov/search-results-detail/360442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Isiogu, Matthew, HCA</dc:creator>
  <cp:keywords/>
  <dc:description/>
  <cp:lastModifiedBy>Sisneros, Andrea, HCA</cp:lastModifiedBy>
  <cp:revision>2</cp:revision>
  <dcterms:created xsi:type="dcterms:W3CDTF">2025-09-23T17:52:00Z</dcterms:created>
  <dcterms:modified xsi:type="dcterms:W3CDTF">2025-09-23T17:52:00Z</dcterms:modified>
</cp:coreProperties>
</file>