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6C7138" w14:textId="77777777" w:rsidR="00A900C3" w:rsidRDefault="00A900C3" w:rsidP="001915B7">
      <w:pPr>
        <w:jc w:val="center"/>
        <w:rPr>
          <w:b/>
          <w:sz w:val="32"/>
          <w:szCs w:val="28"/>
        </w:rPr>
      </w:pPr>
      <w:r>
        <w:rPr>
          <w:b/>
          <w:sz w:val="32"/>
          <w:szCs w:val="28"/>
        </w:rPr>
        <w:t>AMENDMENT #1</w:t>
      </w:r>
    </w:p>
    <w:p w14:paraId="40543BEF" w14:textId="77777777" w:rsidR="00A900C3" w:rsidRDefault="00A900C3" w:rsidP="001915B7">
      <w:pPr>
        <w:jc w:val="center"/>
        <w:rPr>
          <w:b/>
          <w:sz w:val="32"/>
          <w:szCs w:val="28"/>
        </w:rPr>
      </w:pPr>
    </w:p>
    <w:p w14:paraId="2E2644E9" w14:textId="00405D9F" w:rsidR="001915B7" w:rsidRDefault="001915B7" w:rsidP="001915B7">
      <w:pPr>
        <w:jc w:val="center"/>
        <w:rPr>
          <w:b/>
          <w:sz w:val="32"/>
          <w:szCs w:val="28"/>
        </w:rPr>
      </w:pPr>
      <w:r>
        <w:rPr>
          <w:b/>
          <w:sz w:val="32"/>
          <w:szCs w:val="28"/>
        </w:rPr>
        <w:t>COMMUNITY PROGRAMS</w:t>
      </w:r>
    </w:p>
    <w:p w14:paraId="0D2E74BE" w14:textId="77777777" w:rsidR="001915B7" w:rsidRPr="008F774E" w:rsidRDefault="001915B7" w:rsidP="001915B7">
      <w:pPr>
        <w:jc w:val="center"/>
        <w:rPr>
          <w:b/>
          <w:sz w:val="32"/>
          <w:szCs w:val="28"/>
        </w:rPr>
      </w:pPr>
      <w:r w:rsidRPr="00F35E14">
        <w:rPr>
          <w:b/>
          <w:sz w:val="32"/>
          <w:szCs w:val="28"/>
        </w:rPr>
        <w:t>DEVELOPMENTAL DISABILITIES SUPPORTS DIVISION</w:t>
      </w:r>
    </w:p>
    <w:p w14:paraId="4A41452F" w14:textId="77777777" w:rsidR="001915B7" w:rsidRPr="008F774E" w:rsidRDefault="001915B7" w:rsidP="001915B7">
      <w:pPr>
        <w:tabs>
          <w:tab w:val="center" w:pos="4680"/>
        </w:tabs>
        <w:jc w:val="center"/>
        <w:rPr>
          <w:b/>
          <w:bCs/>
          <w:sz w:val="32"/>
          <w:szCs w:val="28"/>
        </w:rPr>
      </w:pPr>
      <w:r w:rsidRPr="008F774E">
        <w:rPr>
          <w:b/>
          <w:bCs/>
          <w:sz w:val="32"/>
          <w:szCs w:val="28"/>
        </w:rPr>
        <w:t>OF THE</w:t>
      </w:r>
    </w:p>
    <w:p w14:paraId="450803B3" w14:textId="77777777" w:rsidR="001915B7" w:rsidRPr="008F774E" w:rsidRDefault="001915B7" w:rsidP="001915B7">
      <w:pPr>
        <w:tabs>
          <w:tab w:val="center" w:pos="4680"/>
        </w:tabs>
        <w:jc w:val="center"/>
        <w:rPr>
          <w:b/>
          <w:bCs/>
          <w:sz w:val="32"/>
          <w:szCs w:val="28"/>
        </w:rPr>
      </w:pPr>
      <w:r>
        <w:rPr>
          <w:b/>
          <w:bCs/>
          <w:sz w:val="32"/>
          <w:szCs w:val="28"/>
        </w:rPr>
        <w:t>NEW MEXICO HEALTH CARE AUTHORITY</w:t>
      </w:r>
    </w:p>
    <w:p w14:paraId="5F82CBE2" w14:textId="77777777" w:rsidR="001915B7" w:rsidRPr="00735B95" w:rsidRDefault="001915B7" w:rsidP="001915B7">
      <w:pPr>
        <w:jc w:val="center"/>
      </w:pPr>
    </w:p>
    <w:p w14:paraId="37D47F7C" w14:textId="77777777" w:rsidR="001915B7" w:rsidRPr="00735B95" w:rsidRDefault="001915B7" w:rsidP="001915B7">
      <w:pPr>
        <w:tabs>
          <w:tab w:val="center" w:pos="4680"/>
        </w:tabs>
        <w:jc w:val="center"/>
        <w:rPr>
          <w:b/>
          <w:bCs/>
          <w:sz w:val="32"/>
        </w:rPr>
      </w:pPr>
    </w:p>
    <w:p w14:paraId="6E2B7E7A" w14:textId="77777777" w:rsidR="001915B7" w:rsidRPr="00735B95" w:rsidRDefault="001915B7" w:rsidP="001915B7">
      <w:pPr>
        <w:tabs>
          <w:tab w:val="center" w:pos="4680"/>
        </w:tabs>
        <w:jc w:val="center"/>
        <w:rPr>
          <w:u w:val="single"/>
        </w:rPr>
      </w:pPr>
      <w:r w:rsidRPr="00735B95">
        <w:rPr>
          <w:b/>
          <w:bCs/>
          <w:sz w:val="32"/>
          <w:u w:val="single"/>
        </w:rPr>
        <w:t>REQUEST FOR PROPOSALS (RFP)</w:t>
      </w:r>
    </w:p>
    <w:p w14:paraId="15A004A3" w14:textId="77777777" w:rsidR="001915B7" w:rsidRPr="00735B95" w:rsidRDefault="001915B7" w:rsidP="001915B7">
      <w:pPr>
        <w:jc w:val="center"/>
      </w:pPr>
    </w:p>
    <w:p w14:paraId="36DE8D80" w14:textId="77777777" w:rsidR="001915B7" w:rsidRPr="00735B95" w:rsidRDefault="001915B7" w:rsidP="001915B7">
      <w:pPr>
        <w:tabs>
          <w:tab w:val="center" w:pos="4680"/>
        </w:tabs>
        <w:jc w:val="center"/>
        <w:rPr>
          <w:b/>
          <w:bCs/>
          <w:sz w:val="36"/>
          <w:szCs w:val="36"/>
        </w:rPr>
      </w:pPr>
    </w:p>
    <w:p w14:paraId="12E72864" w14:textId="77777777" w:rsidR="001915B7" w:rsidRPr="00C87871" w:rsidRDefault="001915B7" w:rsidP="001915B7">
      <w:pPr>
        <w:tabs>
          <w:tab w:val="center" w:pos="4680"/>
        </w:tabs>
        <w:jc w:val="center"/>
        <w:rPr>
          <w:b/>
          <w:bCs/>
          <w:sz w:val="36"/>
          <w:szCs w:val="36"/>
        </w:rPr>
      </w:pPr>
      <w:r>
        <w:rPr>
          <w:b/>
          <w:bCs/>
          <w:sz w:val="36"/>
          <w:szCs w:val="36"/>
        </w:rPr>
        <w:t>Home and Community Based Services Rate Study</w:t>
      </w:r>
    </w:p>
    <w:p w14:paraId="49054358" w14:textId="77777777" w:rsidR="001915B7" w:rsidRPr="00862959" w:rsidRDefault="001915B7" w:rsidP="001915B7">
      <w:pPr>
        <w:tabs>
          <w:tab w:val="center" w:pos="4680"/>
        </w:tabs>
      </w:pPr>
    </w:p>
    <w:p w14:paraId="69F55797" w14:textId="77777777" w:rsidR="001915B7" w:rsidRPr="00735B95" w:rsidRDefault="001915B7" w:rsidP="001915B7">
      <w:pPr>
        <w:tabs>
          <w:tab w:val="center" w:pos="4680"/>
        </w:tabs>
        <w:jc w:val="center"/>
      </w:pPr>
    </w:p>
    <w:p w14:paraId="042E26C8" w14:textId="77777777" w:rsidR="001915B7" w:rsidRPr="00735B95" w:rsidRDefault="001915B7" w:rsidP="001915B7">
      <w:pPr>
        <w:tabs>
          <w:tab w:val="center" w:pos="4680"/>
        </w:tabs>
        <w:jc w:val="center"/>
      </w:pPr>
      <w:r>
        <w:rPr>
          <w:noProof/>
        </w:rPr>
        <w:drawing>
          <wp:inline distT="0" distB="0" distL="0" distR="0" wp14:anchorId="12B917A3" wp14:editId="61CC7EE9">
            <wp:extent cx="2466975" cy="1847850"/>
            <wp:effectExtent l="0" t="0" r="9525" b="0"/>
            <wp:docPr id="1549981605"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981605" name="Picture 1" descr="Icon&#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inline>
        </w:drawing>
      </w:r>
    </w:p>
    <w:p w14:paraId="799281D9" w14:textId="77777777" w:rsidR="001915B7" w:rsidRPr="00735B95" w:rsidRDefault="001915B7" w:rsidP="001915B7">
      <w:pPr>
        <w:tabs>
          <w:tab w:val="center" w:pos="4680"/>
        </w:tabs>
        <w:jc w:val="center"/>
      </w:pPr>
    </w:p>
    <w:p w14:paraId="048C4EB5" w14:textId="77777777" w:rsidR="001915B7" w:rsidRPr="00735B95" w:rsidRDefault="001915B7" w:rsidP="001915B7">
      <w:pPr>
        <w:tabs>
          <w:tab w:val="center" w:pos="4680"/>
        </w:tabs>
        <w:jc w:val="center"/>
      </w:pPr>
    </w:p>
    <w:p w14:paraId="7539EB56" w14:textId="3505A4B7" w:rsidR="00A900C3" w:rsidRDefault="001915B7" w:rsidP="00A900C3">
      <w:pPr>
        <w:tabs>
          <w:tab w:val="center" w:pos="4680"/>
        </w:tabs>
        <w:jc w:val="center"/>
        <w:rPr>
          <w:b/>
          <w:bCs/>
          <w:sz w:val="32"/>
        </w:rPr>
      </w:pPr>
      <w:r w:rsidRPr="00735B95">
        <w:rPr>
          <w:b/>
          <w:bCs/>
          <w:sz w:val="32"/>
        </w:rPr>
        <w:t>RFP#</w:t>
      </w:r>
      <w:r>
        <w:rPr>
          <w:b/>
          <w:bCs/>
          <w:sz w:val="32"/>
        </w:rPr>
        <w:t>25-630-0700-0</w:t>
      </w:r>
      <w:r w:rsidR="00A900C3">
        <w:rPr>
          <w:b/>
          <w:bCs/>
          <w:sz w:val="32"/>
        </w:rPr>
        <w:t>004</w:t>
      </w:r>
    </w:p>
    <w:p w14:paraId="01572F47" w14:textId="72F25910" w:rsidR="00A900C3" w:rsidRPr="00735B95" w:rsidRDefault="00A900C3" w:rsidP="00A900C3">
      <w:pPr>
        <w:tabs>
          <w:tab w:val="center" w:pos="4680"/>
        </w:tabs>
        <w:jc w:val="center"/>
        <w:rPr>
          <w:b/>
          <w:bCs/>
          <w:sz w:val="32"/>
        </w:rPr>
      </w:pPr>
      <w:r>
        <w:rPr>
          <w:b/>
          <w:bCs/>
          <w:sz w:val="32"/>
        </w:rPr>
        <w:t>Amendment Date: October 24,2024</w:t>
      </w:r>
    </w:p>
    <w:p w14:paraId="3B315305" w14:textId="77777777" w:rsidR="001915B7" w:rsidRPr="00735B95" w:rsidRDefault="001915B7" w:rsidP="001915B7">
      <w:pPr>
        <w:tabs>
          <w:tab w:val="center" w:pos="4680"/>
        </w:tabs>
        <w:jc w:val="center"/>
        <w:rPr>
          <w:sz w:val="32"/>
          <w:szCs w:val="32"/>
        </w:rPr>
      </w:pPr>
    </w:p>
    <w:p w14:paraId="45353A0C" w14:textId="77777777" w:rsidR="001915B7" w:rsidRPr="00F170A6" w:rsidRDefault="001915B7" w:rsidP="001915B7">
      <w:pPr>
        <w:tabs>
          <w:tab w:val="center" w:pos="4680"/>
        </w:tabs>
        <w:jc w:val="center"/>
        <w:rPr>
          <w:b/>
          <w:sz w:val="32"/>
          <w:szCs w:val="32"/>
        </w:rPr>
      </w:pPr>
      <w:r w:rsidRPr="00F170A6">
        <w:rPr>
          <w:color w:val="000000"/>
          <w:sz w:val="32"/>
          <w:szCs w:val="32"/>
        </w:rPr>
        <w:t xml:space="preserve"> </w:t>
      </w:r>
    </w:p>
    <w:p w14:paraId="2600BCFF" w14:textId="77777777" w:rsidR="001915B7" w:rsidRPr="00735B95" w:rsidRDefault="001915B7" w:rsidP="001915B7">
      <w:pPr>
        <w:tabs>
          <w:tab w:val="center" w:pos="4680"/>
        </w:tabs>
        <w:jc w:val="center"/>
      </w:pPr>
    </w:p>
    <w:p w14:paraId="055F45ED" w14:textId="77777777" w:rsidR="001915B7" w:rsidRPr="00735B95" w:rsidRDefault="001915B7" w:rsidP="001915B7">
      <w:pPr>
        <w:jc w:val="center"/>
        <w:rPr>
          <w:sz w:val="32"/>
          <w:szCs w:val="32"/>
        </w:rPr>
      </w:pPr>
      <w:r w:rsidRPr="009424DF">
        <w:rPr>
          <w:sz w:val="32"/>
          <w:szCs w:val="32"/>
        </w:rPr>
        <w:t>RFP Release Date:  October</w:t>
      </w:r>
      <w:r>
        <w:rPr>
          <w:sz w:val="32"/>
          <w:szCs w:val="32"/>
        </w:rPr>
        <w:t xml:space="preserve"> 7, 2024</w:t>
      </w:r>
    </w:p>
    <w:p w14:paraId="330A4CEC" w14:textId="77777777" w:rsidR="001915B7" w:rsidRPr="00735B95" w:rsidRDefault="001915B7" w:rsidP="001915B7">
      <w:pPr>
        <w:jc w:val="center"/>
      </w:pPr>
    </w:p>
    <w:p w14:paraId="2D35B993" w14:textId="77777777" w:rsidR="001915B7" w:rsidRPr="00735B95" w:rsidRDefault="001915B7" w:rsidP="001915B7">
      <w:pPr>
        <w:jc w:val="center"/>
      </w:pPr>
    </w:p>
    <w:p w14:paraId="011D0CF4" w14:textId="77777777" w:rsidR="001915B7" w:rsidRDefault="001915B7" w:rsidP="001915B7">
      <w:pPr>
        <w:jc w:val="center"/>
        <w:rPr>
          <w:sz w:val="32"/>
          <w:szCs w:val="32"/>
        </w:rPr>
      </w:pPr>
      <w:r w:rsidRPr="009424DF">
        <w:rPr>
          <w:sz w:val="32"/>
          <w:szCs w:val="32"/>
        </w:rPr>
        <w:t xml:space="preserve">Proposal Due Date:  </w:t>
      </w:r>
      <w:r>
        <w:rPr>
          <w:sz w:val="32"/>
          <w:szCs w:val="32"/>
        </w:rPr>
        <w:t>November 13, 2024</w:t>
      </w:r>
    </w:p>
    <w:p w14:paraId="5286AA3B" w14:textId="77777777" w:rsidR="001915B7" w:rsidRDefault="001915B7" w:rsidP="001915B7">
      <w:pPr>
        <w:jc w:val="center"/>
        <w:rPr>
          <w:sz w:val="32"/>
          <w:szCs w:val="32"/>
        </w:rPr>
      </w:pPr>
    </w:p>
    <w:p w14:paraId="39424D22" w14:textId="77777777" w:rsidR="001915B7" w:rsidRDefault="001915B7" w:rsidP="001915B7">
      <w:pPr>
        <w:jc w:val="center"/>
        <w:rPr>
          <w:sz w:val="32"/>
          <w:szCs w:val="32"/>
        </w:rPr>
      </w:pPr>
    </w:p>
    <w:p w14:paraId="3F95E3C6" w14:textId="77777777" w:rsidR="001915B7" w:rsidRDefault="001915B7" w:rsidP="001915B7">
      <w:pPr>
        <w:jc w:val="center"/>
        <w:rPr>
          <w:sz w:val="32"/>
          <w:szCs w:val="32"/>
        </w:rPr>
      </w:pPr>
    </w:p>
    <w:p w14:paraId="744FF546" w14:textId="77777777" w:rsidR="001915B7" w:rsidRPr="0053545C" w:rsidRDefault="001915B7" w:rsidP="001915B7">
      <w:pPr>
        <w:jc w:val="center"/>
        <w:rPr>
          <w:b/>
          <w:sz w:val="32"/>
          <w:szCs w:val="32"/>
        </w:rPr>
      </w:pPr>
      <w:r w:rsidRPr="001754F1">
        <w:rPr>
          <w:b/>
          <w:sz w:val="32"/>
          <w:szCs w:val="32"/>
        </w:rPr>
        <w:t>ELECTRONIC-ONLY PROPOSAL SUBMISSION</w:t>
      </w:r>
    </w:p>
    <w:p w14:paraId="27C80F73" w14:textId="5F76FF17" w:rsidR="001915B7" w:rsidRPr="001915B7" w:rsidRDefault="001915B7" w:rsidP="001915B7">
      <w:pPr>
        <w:rPr>
          <w:b/>
          <w:bCs/>
          <w:sz w:val="28"/>
          <w:szCs w:val="28"/>
        </w:rPr>
      </w:pPr>
      <w:r w:rsidRPr="001915B7">
        <w:rPr>
          <w:b/>
          <w:bCs/>
          <w:sz w:val="28"/>
          <w:szCs w:val="28"/>
        </w:rPr>
        <w:lastRenderedPageBreak/>
        <w:t xml:space="preserve">This Amendment No. 01 serves to modify the following section on the specified pages of the RFP: </w:t>
      </w:r>
    </w:p>
    <w:p w14:paraId="6CA28FB1" w14:textId="77777777" w:rsidR="001915B7" w:rsidRDefault="001915B7" w:rsidP="001915B7"/>
    <w:p w14:paraId="571F1567" w14:textId="4DC0FA4F" w:rsidR="001915B7" w:rsidRPr="001915B7" w:rsidRDefault="001915B7" w:rsidP="001915B7">
      <w:pPr>
        <w:rPr>
          <w:b/>
          <w:bCs/>
        </w:rPr>
      </w:pPr>
      <w:r w:rsidRPr="001915B7">
        <w:rPr>
          <w:b/>
          <w:bCs/>
        </w:rPr>
        <w:t>CHANGE ON PAGE 2:</w:t>
      </w:r>
    </w:p>
    <w:p w14:paraId="2724C742" w14:textId="77777777" w:rsidR="001915B7" w:rsidRDefault="001915B7" w:rsidP="001915B7"/>
    <w:p w14:paraId="2979C2F3" w14:textId="33B2C91C" w:rsidR="001915B7" w:rsidRPr="001915B7" w:rsidRDefault="001915B7" w:rsidP="001915B7">
      <w:pPr>
        <w:rPr>
          <w:b/>
          <w:bCs/>
        </w:rPr>
      </w:pPr>
      <w:r w:rsidRPr="001915B7">
        <w:rPr>
          <w:b/>
          <w:bCs/>
        </w:rPr>
        <w:t>Section C. Scope of Procurement is hereby amended to include reflect the correct term of this Request for Proposal (RFP).</w:t>
      </w:r>
    </w:p>
    <w:p w14:paraId="78284452" w14:textId="5373DCA5" w:rsidR="001915B7" w:rsidRDefault="001915B7" w:rsidP="001915B7"/>
    <w:p w14:paraId="318801B9" w14:textId="38AF3BE6" w:rsidR="001915B7" w:rsidRDefault="001915B7" w:rsidP="001915B7">
      <w:pPr>
        <w:rPr>
          <w:b/>
          <w:bCs/>
        </w:rPr>
      </w:pPr>
      <w:bookmarkStart w:id="0" w:name="_Toc377565305"/>
      <w:bookmarkStart w:id="1" w:name="_Toc112682164"/>
      <w:r>
        <w:rPr>
          <w:b/>
          <w:bCs/>
        </w:rPr>
        <w:t>SECTION C. SCOPE OF PROCUREMENT</w:t>
      </w:r>
    </w:p>
    <w:p w14:paraId="325C29C5" w14:textId="77777777" w:rsidR="001915B7" w:rsidRDefault="001915B7" w:rsidP="001915B7">
      <w:pPr>
        <w:rPr>
          <w:b/>
          <w:bCs/>
        </w:rPr>
      </w:pPr>
    </w:p>
    <w:p w14:paraId="11F51FBC" w14:textId="046854C0" w:rsidR="001915B7" w:rsidRPr="001915B7" w:rsidRDefault="001915B7" w:rsidP="001915B7">
      <w:pPr>
        <w:rPr>
          <w:b/>
          <w:bCs/>
        </w:rPr>
      </w:pPr>
      <w:r w:rsidRPr="001915B7">
        <w:rPr>
          <w:b/>
          <w:bCs/>
        </w:rPr>
        <w:t>Section C. Scope of Procurement is hereby amended to include reflect the correct term of this Request for Proposal (RFP).</w:t>
      </w:r>
    </w:p>
    <w:bookmarkEnd w:id="0"/>
    <w:bookmarkEnd w:id="1"/>
    <w:p w14:paraId="1D86223D" w14:textId="77777777" w:rsidR="001915B7" w:rsidRDefault="001915B7" w:rsidP="001915B7"/>
    <w:p w14:paraId="3DDC4DCF" w14:textId="34D87E6F" w:rsidR="001915B7" w:rsidRDefault="001915B7" w:rsidP="001915B7">
      <w:r>
        <w:t>The Agency, DDSD, is seeking a professional organization that specializes in economics, statistics, and actuaries with experience in health care financing and financial modeling specific to Home and Community Based Services (HCBS) waiver programs. The term of the resulting contract will be for one year</w:t>
      </w:r>
      <w:r w:rsidR="00106D3B">
        <w:t xml:space="preserve"> with the expected completion date of the rate study by June 30</w:t>
      </w:r>
      <w:r w:rsidR="00106D3B" w:rsidRPr="00106D3B">
        <w:rPr>
          <w:vertAlign w:val="superscript"/>
        </w:rPr>
        <w:t>th</w:t>
      </w:r>
      <w:r w:rsidR="00106D3B">
        <w:t>, 2025.</w:t>
      </w:r>
      <w:r>
        <w:t xml:space="preserve"> The resulting contract may be a single award.</w:t>
      </w:r>
    </w:p>
    <w:p w14:paraId="47A1DB43" w14:textId="77777777" w:rsidR="001915B7" w:rsidRDefault="001915B7" w:rsidP="001915B7"/>
    <w:p w14:paraId="276563BF" w14:textId="1E270A50" w:rsidR="001915B7" w:rsidRDefault="001915B7" w:rsidP="001915B7">
      <w:r>
        <w:t>The scope of procurement encompasses the defined Scope of Work described herein with a contract term upon signature of the New Mexico Contracts Review Bureau (CRB).  This procurement will result in a contract with a term of one year.</w:t>
      </w:r>
    </w:p>
    <w:p w14:paraId="4D6AFA2C" w14:textId="77777777" w:rsidR="00A864E9" w:rsidRDefault="00A864E9" w:rsidP="001915B7"/>
    <w:p w14:paraId="1E19E140" w14:textId="384138CF" w:rsidR="00A864E9" w:rsidRDefault="00A864E9" w:rsidP="001915B7">
      <w:pPr>
        <w:rPr>
          <w:b/>
          <w:bCs/>
        </w:rPr>
      </w:pPr>
      <w:r w:rsidRPr="001915B7">
        <w:rPr>
          <w:b/>
          <w:bCs/>
        </w:rPr>
        <w:t>CHANGE ON PAGE 2</w:t>
      </w:r>
      <w:r>
        <w:rPr>
          <w:b/>
          <w:bCs/>
        </w:rPr>
        <w:t>2:</w:t>
      </w:r>
    </w:p>
    <w:p w14:paraId="133B739F" w14:textId="77777777" w:rsidR="00A864E9" w:rsidRDefault="00A864E9" w:rsidP="001915B7">
      <w:pPr>
        <w:rPr>
          <w:b/>
          <w:bCs/>
        </w:rPr>
      </w:pPr>
    </w:p>
    <w:p w14:paraId="158BB282" w14:textId="77777777" w:rsidR="00A864E9" w:rsidRPr="00A864E9" w:rsidRDefault="00A864E9" w:rsidP="00A864E9">
      <w:pPr>
        <w:numPr>
          <w:ilvl w:val="0"/>
          <w:numId w:val="3"/>
        </w:numPr>
        <w:rPr>
          <w:b/>
          <w:bCs/>
          <w:iCs/>
        </w:rPr>
      </w:pPr>
      <w:bookmarkStart w:id="2" w:name="_Toc112682221"/>
      <w:bookmarkStart w:id="3" w:name="_Toc167804689"/>
      <w:r w:rsidRPr="00A864E9">
        <w:rPr>
          <w:b/>
          <w:bCs/>
          <w:iCs/>
        </w:rPr>
        <w:t>PROPOSAL CONTENT AND ORGANIZATION</w:t>
      </w:r>
      <w:bookmarkEnd w:id="2"/>
      <w:bookmarkEnd w:id="3"/>
    </w:p>
    <w:p w14:paraId="2B4BE332" w14:textId="77777777" w:rsidR="00A864E9" w:rsidRPr="00A864E9" w:rsidRDefault="00A864E9" w:rsidP="00A864E9"/>
    <w:p w14:paraId="1957B0F6" w14:textId="77777777" w:rsidR="00A864E9" w:rsidRPr="00A864E9" w:rsidRDefault="00A864E9" w:rsidP="00A864E9">
      <w:r w:rsidRPr="00A864E9">
        <w:t xml:space="preserve">All proposals must be submitted as follows: </w:t>
      </w:r>
    </w:p>
    <w:p w14:paraId="542C7EE5" w14:textId="77777777" w:rsidR="00A864E9" w:rsidRPr="00A864E9" w:rsidRDefault="00A864E9" w:rsidP="00A864E9"/>
    <w:p w14:paraId="4A0CF381" w14:textId="77777777" w:rsidR="00A864E9" w:rsidRPr="00A864E9" w:rsidRDefault="00A864E9" w:rsidP="00A864E9">
      <w:r w:rsidRPr="00A864E9">
        <w:t xml:space="preserve">Direct reference to pre-prepared or promotional material may be used if referenced and clearly marked.  Promotional material must be minimal.  Within each section of the proposal, Offerors must organize and address the RFP requirements in the order indicated below.  All forms provided in this RFP must be thoroughly completed and included in the appropriate section of Offeror’s proposal.  </w:t>
      </w:r>
      <w:proofErr w:type="gramStart"/>
      <w:r w:rsidRPr="00A864E9">
        <w:rPr>
          <w:b/>
        </w:rPr>
        <w:t>Any and all</w:t>
      </w:r>
      <w:proofErr w:type="gramEnd"/>
      <w:r w:rsidRPr="00A864E9">
        <w:rPr>
          <w:b/>
        </w:rPr>
        <w:t xml:space="preserve"> discussion of proposed costs, rates or expenses must occur </w:t>
      </w:r>
      <w:r w:rsidRPr="00A864E9">
        <w:rPr>
          <w:b/>
          <w:u w:val="single"/>
        </w:rPr>
        <w:t>ONLY</w:t>
      </w:r>
      <w:r w:rsidRPr="00A864E9">
        <w:rPr>
          <w:b/>
        </w:rPr>
        <w:t xml:space="preserve"> in the Cost Proposal.</w:t>
      </w:r>
      <w:r w:rsidRPr="00A864E9">
        <w:t xml:space="preserve"> </w:t>
      </w:r>
    </w:p>
    <w:p w14:paraId="6DE66D4F" w14:textId="77777777" w:rsidR="00A864E9" w:rsidRPr="00A864E9" w:rsidRDefault="00A864E9" w:rsidP="00A864E9"/>
    <w:p w14:paraId="3BFC5A8C" w14:textId="77777777" w:rsidR="00A864E9" w:rsidRPr="00A864E9" w:rsidRDefault="00A864E9" w:rsidP="00A864E9">
      <w:r w:rsidRPr="00A864E9">
        <w:rPr>
          <w:b/>
        </w:rPr>
        <w:t>Technical Proposal</w:t>
      </w:r>
      <w:r w:rsidRPr="00A864E9">
        <w:t xml:space="preserve"> – </w:t>
      </w:r>
      <w:r w:rsidRPr="00A864E9">
        <w:rPr>
          <w:b/>
          <w:u w:val="single"/>
        </w:rPr>
        <w:t>DO NOT INCLUDE ANY COST INFORMATION IN THE TECHNICAL PROPOSAL.</w:t>
      </w:r>
    </w:p>
    <w:p w14:paraId="5B2A8799" w14:textId="77777777" w:rsidR="00A864E9" w:rsidRPr="00A864E9" w:rsidRDefault="00A864E9" w:rsidP="00A864E9">
      <w:pPr>
        <w:numPr>
          <w:ilvl w:val="1"/>
          <w:numId w:val="4"/>
        </w:numPr>
      </w:pPr>
      <w:r w:rsidRPr="00A864E9">
        <w:t>Signed Letter of Transmittal</w:t>
      </w:r>
    </w:p>
    <w:p w14:paraId="09A0D127" w14:textId="77777777" w:rsidR="00A864E9" w:rsidRPr="00A864E9" w:rsidRDefault="00A864E9" w:rsidP="00A864E9">
      <w:pPr>
        <w:numPr>
          <w:ilvl w:val="1"/>
          <w:numId w:val="4"/>
        </w:numPr>
      </w:pPr>
      <w:r w:rsidRPr="00A864E9">
        <w:t>Signed Campaign Contribution Disclosure Form</w:t>
      </w:r>
    </w:p>
    <w:p w14:paraId="79846D1A" w14:textId="77777777" w:rsidR="00A864E9" w:rsidRPr="00A864E9" w:rsidRDefault="00A864E9" w:rsidP="00A864E9">
      <w:pPr>
        <w:numPr>
          <w:ilvl w:val="1"/>
          <w:numId w:val="4"/>
        </w:numPr>
      </w:pPr>
      <w:r w:rsidRPr="00A864E9">
        <w:t>Table of Contents</w:t>
      </w:r>
    </w:p>
    <w:p w14:paraId="685A7787" w14:textId="77777777" w:rsidR="00A864E9" w:rsidRPr="00A864E9" w:rsidRDefault="00A864E9" w:rsidP="00A864E9">
      <w:pPr>
        <w:numPr>
          <w:ilvl w:val="1"/>
          <w:numId w:val="4"/>
        </w:numPr>
      </w:pPr>
      <w:r w:rsidRPr="00A864E9">
        <w:t>Proposal Summary (Optional)</w:t>
      </w:r>
    </w:p>
    <w:p w14:paraId="71A86443" w14:textId="77777777" w:rsidR="00A864E9" w:rsidRPr="00A864E9" w:rsidRDefault="00A864E9" w:rsidP="00A864E9">
      <w:pPr>
        <w:numPr>
          <w:ilvl w:val="1"/>
          <w:numId w:val="4"/>
        </w:numPr>
      </w:pPr>
      <w:r w:rsidRPr="00A864E9">
        <w:t>Response to Contract Terms and Conditions (from Section II.C.15)</w:t>
      </w:r>
    </w:p>
    <w:p w14:paraId="641B3F98" w14:textId="77777777" w:rsidR="00A864E9" w:rsidRPr="00A864E9" w:rsidRDefault="00A864E9" w:rsidP="00A864E9">
      <w:pPr>
        <w:numPr>
          <w:ilvl w:val="1"/>
          <w:numId w:val="4"/>
        </w:numPr>
      </w:pPr>
      <w:r w:rsidRPr="00A864E9">
        <w:t xml:space="preserve">Offeror’s Additional Terms and Conditions (from Section </w:t>
      </w:r>
      <w:proofErr w:type="gramStart"/>
      <w:r w:rsidRPr="00A864E9">
        <w:t>II.C.16 )</w:t>
      </w:r>
      <w:proofErr w:type="gramEnd"/>
    </w:p>
    <w:p w14:paraId="0463A1BC" w14:textId="77777777" w:rsidR="00A864E9" w:rsidRPr="00A864E9" w:rsidRDefault="00A864E9" w:rsidP="00A864E9">
      <w:pPr>
        <w:numPr>
          <w:ilvl w:val="1"/>
          <w:numId w:val="4"/>
        </w:numPr>
        <w:rPr>
          <w:b/>
        </w:rPr>
      </w:pPr>
      <w:r w:rsidRPr="00A864E9">
        <w:t xml:space="preserve">Response to Specifications </w:t>
      </w:r>
      <w:r w:rsidRPr="00A864E9">
        <w:rPr>
          <w:b/>
        </w:rPr>
        <w:t xml:space="preserve">(except Cost information which shall be included ONLY in Cost Proposal) </w:t>
      </w:r>
    </w:p>
    <w:p w14:paraId="7D4051E8" w14:textId="77777777" w:rsidR="00A864E9" w:rsidRPr="00A864E9" w:rsidRDefault="00A864E9" w:rsidP="00A864E9">
      <w:pPr>
        <w:numPr>
          <w:ilvl w:val="2"/>
          <w:numId w:val="4"/>
        </w:numPr>
      </w:pPr>
      <w:r w:rsidRPr="00A864E9">
        <w:lastRenderedPageBreak/>
        <w:t>Organizational Experience</w:t>
      </w:r>
    </w:p>
    <w:p w14:paraId="27931C5B" w14:textId="20ACC3D1" w:rsidR="00A864E9" w:rsidRDefault="00A864E9" w:rsidP="00A864E9">
      <w:pPr>
        <w:numPr>
          <w:ilvl w:val="2"/>
          <w:numId w:val="4"/>
        </w:numPr>
      </w:pPr>
      <w:r w:rsidRPr="00A864E9">
        <w:t>Organizational References</w:t>
      </w:r>
    </w:p>
    <w:p w14:paraId="35965485" w14:textId="700C6480" w:rsidR="00A864E9" w:rsidRPr="00A864E9" w:rsidRDefault="00A864E9" w:rsidP="00A864E9">
      <w:pPr>
        <w:numPr>
          <w:ilvl w:val="2"/>
          <w:numId w:val="4"/>
        </w:numPr>
      </w:pPr>
      <w:r>
        <w:t>Response to Scope of Work</w:t>
      </w:r>
    </w:p>
    <w:p w14:paraId="51B39843" w14:textId="77777777" w:rsidR="00A864E9" w:rsidRPr="00A864E9" w:rsidRDefault="00A864E9" w:rsidP="00A864E9">
      <w:pPr>
        <w:numPr>
          <w:ilvl w:val="2"/>
          <w:numId w:val="4"/>
        </w:numPr>
      </w:pPr>
      <w:r w:rsidRPr="00A864E9">
        <w:t xml:space="preserve">Financial Stability </w:t>
      </w:r>
      <w:proofErr w:type="gramStart"/>
      <w:r w:rsidRPr="00A864E9">
        <w:t>–(</w:t>
      </w:r>
      <w:proofErr w:type="gramEnd"/>
      <w:r w:rsidRPr="00A864E9">
        <w:t xml:space="preserve">Financial information considered confidential, as defined in Section I.F. and detailed in Section II.C.8, should be placed in the </w:t>
      </w:r>
      <w:r w:rsidRPr="00A864E9">
        <w:rPr>
          <w:b/>
        </w:rPr>
        <w:t xml:space="preserve">Confidential Information </w:t>
      </w:r>
      <w:r w:rsidRPr="00A864E9">
        <w:t>file, per Section III.B.2.a, as applicable)</w:t>
      </w:r>
    </w:p>
    <w:p w14:paraId="71E52DEF" w14:textId="77777777" w:rsidR="00A864E9" w:rsidRPr="00A864E9" w:rsidRDefault="00A864E9" w:rsidP="00A864E9">
      <w:pPr>
        <w:numPr>
          <w:ilvl w:val="1"/>
          <w:numId w:val="4"/>
        </w:numPr>
      </w:pPr>
      <w:r w:rsidRPr="00A864E9">
        <w:t>Other Supporting Material (if applicable)</w:t>
      </w:r>
    </w:p>
    <w:p w14:paraId="31ADE128" w14:textId="77777777" w:rsidR="00A864E9" w:rsidRDefault="00A864E9" w:rsidP="001915B7"/>
    <w:p w14:paraId="03E5A339" w14:textId="77777777" w:rsidR="001915B7" w:rsidRDefault="001915B7" w:rsidP="001915B7"/>
    <w:p w14:paraId="50DC8424" w14:textId="0EDF5A5B" w:rsidR="001915B7" w:rsidRPr="001915B7" w:rsidRDefault="001915B7" w:rsidP="001915B7">
      <w:pPr>
        <w:rPr>
          <w:b/>
          <w:bCs/>
        </w:rPr>
      </w:pPr>
      <w:r w:rsidRPr="001915B7">
        <w:rPr>
          <w:b/>
          <w:bCs/>
        </w:rPr>
        <w:t>CHANGE ON PAGE 32:</w:t>
      </w:r>
    </w:p>
    <w:p w14:paraId="05190E46" w14:textId="77777777" w:rsidR="001915B7" w:rsidRDefault="001915B7" w:rsidP="001915B7"/>
    <w:p w14:paraId="6A583905" w14:textId="4EE17BCC" w:rsidR="001915B7" w:rsidRPr="001915B7" w:rsidRDefault="001915B7" w:rsidP="001915B7">
      <w:pPr>
        <w:rPr>
          <w:b/>
          <w:bCs/>
        </w:rPr>
      </w:pPr>
      <w:r w:rsidRPr="001915B7">
        <w:rPr>
          <w:b/>
          <w:bCs/>
        </w:rPr>
        <w:t xml:space="preserve">Section </w:t>
      </w:r>
      <w:r>
        <w:rPr>
          <w:b/>
          <w:bCs/>
        </w:rPr>
        <w:t>A</w:t>
      </w:r>
      <w:r w:rsidRPr="001915B7">
        <w:rPr>
          <w:b/>
          <w:bCs/>
        </w:rPr>
        <w:t xml:space="preserve">. </w:t>
      </w:r>
      <w:r>
        <w:rPr>
          <w:b/>
          <w:bCs/>
        </w:rPr>
        <w:t xml:space="preserve">Evaluation Point Summary </w:t>
      </w:r>
      <w:r w:rsidRPr="001915B7">
        <w:rPr>
          <w:b/>
          <w:bCs/>
        </w:rPr>
        <w:t xml:space="preserve">is hereby amended to </w:t>
      </w:r>
      <w:r w:rsidR="00885DFE">
        <w:rPr>
          <w:b/>
          <w:bCs/>
        </w:rPr>
        <w:t>include points for Response to Scope</w:t>
      </w:r>
      <w:r w:rsidRPr="001915B7">
        <w:rPr>
          <w:b/>
          <w:bCs/>
        </w:rPr>
        <w:t>.</w:t>
      </w:r>
    </w:p>
    <w:p w14:paraId="7D0CAD10" w14:textId="77777777" w:rsidR="001915B7" w:rsidRDefault="001915B7" w:rsidP="001915B7"/>
    <w:p w14:paraId="56423E01" w14:textId="2F8208D2" w:rsidR="001915B7" w:rsidRPr="001915B7" w:rsidRDefault="001915B7" w:rsidP="001915B7">
      <w:pPr>
        <w:rPr>
          <w:b/>
          <w:bCs/>
        </w:rPr>
      </w:pPr>
      <w:r w:rsidRPr="001915B7">
        <w:rPr>
          <w:b/>
          <w:bCs/>
        </w:rPr>
        <w:t>SECTION V.A – EVALUATION POINT SUMMARY</w:t>
      </w:r>
    </w:p>
    <w:p w14:paraId="5775957B" w14:textId="77777777" w:rsidR="001915B7" w:rsidRDefault="001915B7" w:rsidP="001915B7"/>
    <w:p w14:paraId="032AFD6E" w14:textId="77777777" w:rsidR="001915B7" w:rsidRDefault="001915B7" w:rsidP="001915B7">
      <w:pPr>
        <w:ind w:left="360"/>
      </w:pPr>
      <w:r w:rsidRPr="0010759D">
        <w:t xml:space="preserve">The following is a summary of evaluation factors with point values assigned to each.  These weighted factors will be used in the evaluation of individual potential Offeror proposals by sub-category. </w:t>
      </w:r>
    </w:p>
    <w:p w14:paraId="234906FB" w14:textId="77777777" w:rsidR="001915B7" w:rsidRPr="0010759D" w:rsidRDefault="001915B7" w:rsidP="001915B7">
      <w:pPr>
        <w:ind w:left="360"/>
        <w:rPr>
          <w:highlight w:val="yellow"/>
        </w:rPr>
      </w:pPr>
    </w:p>
    <w:tbl>
      <w:tblPr>
        <w:tblW w:w="7100" w:type="dxa"/>
        <w:tblInd w:w="602" w:type="dxa"/>
        <w:tblLook w:val="04A0" w:firstRow="1" w:lastRow="0" w:firstColumn="1" w:lastColumn="0" w:noHBand="0" w:noVBand="1"/>
      </w:tblPr>
      <w:tblGrid>
        <w:gridCol w:w="5200"/>
        <w:gridCol w:w="1900"/>
      </w:tblGrid>
      <w:tr w:rsidR="001915B7" w14:paraId="08FFAED8" w14:textId="77777777" w:rsidTr="000C5BB1">
        <w:trPr>
          <w:trHeight w:val="315"/>
        </w:trPr>
        <w:tc>
          <w:tcPr>
            <w:tcW w:w="5200" w:type="dxa"/>
            <w:tcBorders>
              <w:top w:val="single" w:sz="8" w:space="0" w:color="auto"/>
              <w:left w:val="single" w:sz="8" w:space="0" w:color="auto"/>
              <w:bottom w:val="nil"/>
              <w:right w:val="single" w:sz="8" w:space="0" w:color="auto"/>
            </w:tcBorders>
            <w:shd w:val="clear" w:color="auto" w:fill="auto"/>
            <w:vAlign w:val="center"/>
            <w:hideMark/>
          </w:tcPr>
          <w:p w14:paraId="439D907F" w14:textId="77777777" w:rsidR="001915B7" w:rsidRDefault="001915B7" w:rsidP="000C5BB1">
            <w:pPr>
              <w:jc w:val="center"/>
              <w:rPr>
                <w:b/>
                <w:bCs/>
                <w:color w:val="000000"/>
              </w:rPr>
            </w:pPr>
            <w:r>
              <w:rPr>
                <w:b/>
                <w:bCs/>
                <w:color w:val="000000"/>
              </w:rPr>
              <w:t>Evaluation Factors</w:t>
            </w:r>
          </w:p>
        </w:tc>
        <w:tc>
          <w:tcPr>
            <w:tcW w:w="19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EBD234B" w14:textId="77777777" w:rsidR="001915B7" w:rsidRDefault="001915B7" w:rsidP="000C5BB1">
            <w:pPr>
              <w:jc w:val="center"/>
              <w:rPr>
                <w:b/>
                <w:bCs/>
                <w:color w:val="000000"/>
              </w:rPr>
            </w:pPr>
            <w:r>
              <w:rPr>
                <w:b/>
                <w:bCs/>
                <w:color w:val="000000"/>
              </w:rPr>
              <w:t>Points Available</w:t>
            </w:r>
          </w:p>
        </w:tc>
      </w:tr>
      <w:tr w:rsidR="001915B7" w14:paraId="6100CD79" w14:textId="77777777" w:rsidTr="000C5BB1">
        <w:trPr>
          <w:trHeight w:val="315"/>
        </w:trPr>
        <w:tc>
          <w:tcPr>
            <w:tcW w:w="5200" w:type="dxa"/>
            <w:tcBorders>
              <w:top w:val="nil"/>
              <w:left w:val="single" w:sz="8" w:space="0" w:color="auto"/>
              <w:bottom w:val="single" w:sz="8" w:space="0" w:color="auto"/>
              <w:right w:val="single" w:sz="8" w:space="0" w:color="auto"/>
            </w:tcBorders>
            <w:shd w:val="clear" w:color="auto" w:fill="auto"/>
            <w:vAlign w:val="center"/>
            <w:hideMark/>
          </w:tcPr>
          <w:p w14:paraId="53E34998" w14:textId="77777777" w:rsidR="001915B7" w:rsidRDefault="001915B7" w:rsidP="000C5BB1">
            <w:pPr>
              <w:jc w:val="center"/>
              <w:rPr>
                <w:i/>
                <w:iCs/>
                <w:color w:val="000000"/>
                <w:sz w:val="18"/>
                <w:szCs w:val="18"/>
              </w:rPr>
            </w:pPr>
            <w:r>
              <w:rPr>
                <w:i/>
                <w:iCs/>
                <w:color w:val="000000"/>
                <w:sz w:val="18"/>
              </w:rPr>
              <w:t>(</w:t>
            </w:r>
            <w:r>
              <w:rPr>
                <w:b/>
                <w:bCs/>
                <w:color w:val="000000"/>
                <w:sz w:val="18"/>
                <w:szCs w:val="18"/>
              </w:rPr>
              <w:t>C</w:t>
            </w:r>
            <w:r>
              <w:rPr>
                <w:i/>
                <w:iCs/>
                <w:color w:val="000000"/>
                <w:sz w:val="18"/>
                <w:szCs w:val="18"/>
              </w:rPr>
              <w:t>orrespond to Sections IV.B and IV.C)</w:t>
            </w:r>
          </w:p>
        </w:tc>
        <w:tc>
          <w:tcPr>
            <w:tcW w:w="1900" w:type="dxa"/>
            <w:vMerge/>
            <w:tcBorders>
              <w:top w:val="single" w:sz="8" w:space="0" w:color="auto"/>
              <w:left w:val="single" w:sz="8" w:space="0" w:color="auto"/>
              <w:bottom w:val="single" w:sz="8" w:space="0" w:color="000000"/>
              <w:right w:val="single" w:sz="8" w:space="0" w:color="auto"/>
            </w:tcBorders>
            <w:vAlign w:val="center"/>
            <w:hideMark/>
          </w:tcPr>
          <w:p w14:paraId="518B1DBD" w14:textId="77777777" w:rsidR="001915B7" w:rsidRDefault="001915B7" w:rsidP="000C5BB1">
            <w:pPr>
              <w:rPr>
                <w:b/>
                <w:bCs/>
                <w:color w:val="000000"/>
              </w:rPr>
            </w:pPr>
          </w:p>
        </w:tc>
      </w:tr>
      <w:tr w:rsidR="001915B7" w14:paraId="00E10811" w14:textId="77777777" w:rsidTr="000C5BB1">
        <w:trPr>
          <w:trHeight w:val="330"/>
        </w:trPr>
        <w:tc>
          <w:tcPr>
            <w:tcW w:w="5200" w:type="dxa"/>
            <w:tcBorders>
              <w:top w:val="nil"/>
              <w:left w:val="single" w:sz="8" w:space="0" w:color="auto"/>
              <w:bottom w:val="single" w:sz="8" w:space="0" w:color="auto"/>
              <w:right w:val="single" w:sz="8" w:space="0" w:color="auto"/>
            </w:tcBorders>
            <w:shd w:val="clear" w:color="auto" w:fill="auto"/>
            <w:vAlign w:val="center"/>
            <w:hideMark/>
          </w:tcPr>
          <w:p w14:paraId="76D797C9" w14:textId="77777777" w:rsidR="001915B7" w:rsidRDefault="001915B7" w:rsidP="000C5BB1">
            <w:pPr>
              <w:rPr>
                <w:b/>
                <w:bCs/>
                <w:color w:val="000000"/>
              </w:rPr>
            </w:pPr>
            <w:r>
              <w:rPr>
                <w:b/>
                <w:bCs/>
                <w:color w:val="000000"/>
              </w:rPr>
              <w:t>B.</w:t>
            </w:r>
            <w:r>
              <w:rPr>
                <w:b/>
                <w:bCs/>
                <w:color w:val="000000"/>
                <w:sz w:val="14"/>
                <w:szCs w:val="14"/>
              </w:rPr>
              <w:t xml:space="preserve">                </w:t>
            </w:r>
            <w:r>
              <w:rPr>
                <w:b/>
                <w:bCs/>
                <w:color w:val="000000"/>
              </w:rPr>
              <w:t>Technical Specifications (## Total Points)</w:t>
            </w:r>
          </w:p>
        </w:tc>
        <w:tc>
          <w:tcPr>
            <w:tcW w:w="1900" w:type="dxa"/>
            <w:tcBorders>
              <w:top w:val="nil"/>
              <w:left w:val="nil"/>
              <w:bottom w:val="single" w:sz="8" w:space="0" w:color="auto"/>
              <w:right w:val="single" w:sz="8" w:space="0" w:color="auto"/>
            </w:tcBorders>
            <w:shd w:val="clear" w:color="auto" w:fill="auto"/>
            <w:vAlign w:val="center"/>
            <w:hideMark/>
          </w:tcPr>
          <w:p w14:paraId="47E6EB63" w14:textId="77777777" w:rsidR="001915B7" w:rsidRDefault="001915B7" w:rsidP="000C5BB1">
            <w:pPr>
              <w:jc w:val="center"/>
              <w:rPr>
                <w:b/>
                <w:bCs/>
                <w:color w:val="000000"/>
              </w:rPr>
            </w:pPr>
            <w:r>
              <w:rPr>
                <w:b/>
                <w:bCs/>
                <w:color w:val="000000"/>
              </w:rPr>
              <w:t>700</w:t>
            </w:r>
          </w:p>
        </w:tc>
      </w:tr>
      <w:tr w:rsidR="001915B7" w14:paraId="61194ED6" w14:textId="77777777" w:rsidTr="000C5BB1">
        <w:trPr>
          <w:trHeight w:val="330"/>
        </w:trPr>
        <w:tc>
          <w:tcPr>
            <w:tcW w:w="5200" w:type="dxa"/>
            <w:tcBorders>
              <w:top w:val="nil"/>
              <w:left w:val="single" w:sz="8" w:space="0" w:color="auto"/>
              <w:bottom w:val="single" w:sz="8" w:space="0" w:color="auto"/>
              <w:right w:val="single" w:sz="8" w:space="0" w:color="auto"/>
            </w:tcBorders>
            <w:shd w:val="clear" w:color="auto" w:fill="auto"/>
            <w:vAlign w:val="center"/>
            <w:hideMark/>
          </w:tcPr>
          <w:p w14:paraId="53FF1225" w14:textId="77777777" w:rsidR="001915B7" w:rsidRDefault="001915B7" w:rsidP="000C5BB1">
            <w:pPr>
              <w:rPr>
                <w:color w:val="000000"/>
              </w:rPr>
            </w:pPr>
            <w:r>
              <w:rPr>
                <w:color w:val="000000"/>
              </w:rPr>
              <w:t>B. 1. Organizational Experience</w:t>
            </w:r>
          </w:p>
        </w:tc>
        <w:tc>
          <w:tcPr>
            <w:tcW w:w="1900" w:type="dxa"/>
            <w:tcBorders>
              <w:top w:val="nil"/>
              <w:left w:val="nil"/>
              <w:bottom w:val="single" w:sz="8" w:space="0" w:color="auto"/>
              <w:right w:val="single" w:sz="8" w:space="0" w:color="auto"/>
            </w:tcBorders>
            <w:shd w:val="clear" w:color="auto" w:fill="auto"/>
            <w:vAlign w:val="center"/>
            <w:hideMark/>
          </w:tcPr>
          <w:p w14:paraId="7B680874" w14:textId="77777777" w:rsidR="001915B7" w:rsidRPr="00A864E9" w:rsidRDefault="001915B7" w:rsidP="000C5BB1">
            <w:pPr>
              <w:jc w:val="center"/>
              <w:rPr>
                <w:color w:val="000000"/>
              </w:rPr>
            </w:pPr>
            <w:r w:rsidRPr="00A864E9">
              <w:rPr>
                <w:color w:val="000000"/>
              </w:rPr>
              <w:t>200</w:t>
            </w:r>
          </w:p>
        </w:tc>
      </w:tr>
      <w:tr w:rsidR="001915B7" w14:paraId="1871A561" w14:textId="77777777" w:rsidTr="000C5BB1">
        <w:trPr>
          <w:trHeight w:val="330"/>
        </w:trPr>
        <w:tc>
          <w:tcPr>
            <w:tcW w:w="5200" w:type="dxa"/>
            <w:tcBorders>
              <w:top w:val="nil"/>
              <w:left w:val="single" w:sz="8" w:space="0" w:color="auto"/>
              <w:bottom w:val="single" w:sz="8" w:space="0" w:color="auto"/>
              <w:right w:val="single" w:sz="8" w:space="0" w:color="auto"/>
            </w:tcBorders>
            <w:shd w:val="clear" w:color="auto" w:fill="auto"/>
            <w:vAlign w:val="center"/>
            <w:hideMark/>
          </w:tcPr>
          <w:p w14:paraId="22F25BF5" w14:textId="016E2923" w:rsidR="001915B7" w:rsidRDefault="001915B7" w:rsidP="000C5BB1">
            <w:pPr>
              <w:rPr>
                <w:color w:val="000000"/>
              </w:rPr>
            </w:pPr>
            <w:r>
              <w:rPr>
                <w:color w:val="000000"/>
              </w:rPr>
              <w:t xml:space="preserve">B. 2. </w:t>
            </w:r>
            <w:r w:rsidR="00885DFE">
              <w:rPr>
                <w:color w:val="000000"/>
              </w:rPr>
              <w:t>Organizational References</w:t>
            </w:r>
          </w:p>
        </w:tc>
        <w:tc>
          <w:tcPr>
            <w:tcW w:w="1900" w:type="dxa"/>
            <w:tcBorders>
              <w:top w:val="nil"/>
              <w:left w:val="nil"/>
              <w:bottom w:val="single" w:sz="8" w:space="0" w:color="auto"/>
              <w:right w:val="single" w:sz="8" w:space="0" w:color="auto"/>
            </w:tcBorders>
            <w:shd w:val="clear" w:color="auto" w:fill="auto"/>
            <w:vAlign w:val="center"/>
            <w:hideMark/>
          </w:tcPr>
          <w:p w14:paraId="46BE9547" w14:textId="30232F4B" w:rsidR="001915B7" w:rsidRPr="00A864E9" w:rsidRDefault="00885DFE" w:rsidP="000C5BB1">
            <w:pPr>
              <w:jc w:val="center"/>
              <w:rPr>
                <w:color w:val="000000"/>
              </w:rPr>
            </w:pPr>
            <w:r w:rsidRPr="00A864E9">
              <w:rPr>
                <w:color w:val="000000"/>
              </w:rPr>
              <w:t>200</w:t>
            </w:r>
          </w:p>
        </w:tc>
      </w:tr>
      <w:tr w:rsidR="001915B7" w14:paraId="14AE1704" w14:textId="77777777" w:rsidTr="000C5BB1">
        <w:trPr>
          <w:trHeight w:val="330"/>
        </w:trPr>
        <w:tc>
          <w:tcPr>
            <w:tcW w:w="5200" w:type="dxa"/>
            <w:tcBorders>
              <w:top w:val="nil"/>
              <w:left w:val="single" w:sz="8" w:space="0" w:color="auto"/>
              <w:bottom w:val="single" w:sz="8" w:space="0" w:color="auto"/>
              <w:right w:val="single" w:sz="8" w:space="0" w:color="auto"/>
            </w:tcBorders>
            <w:shd w:val="clear" w:color="auto" w:fill="auto"/>
            <w:vAlign w:val="center"/>
            <w:hideMark/>
          </w:tcPr>
          <w:p w14:paraId="5AE232E2" w14:textId="36C28033" w:rsidR="001915B7" w:rsidRDefault="001915B7" w:rsidP="000C5BB1">
            <w:pPr>
              <w:rPr>
                <w:color w:val="000000"/>
              </w:rPr>
            </w:pPr>
            <w:r>
              <w:rPr>
                <w:color w:val="000000"/>
              </w:rPr>
              <w:t xml:space="preserve">B. </w:t>
            </w:r>
            <w:r w:rsidR="00885DFE">
              <w:rPr>
                <w:color w:val="000000"/>
              </w:rPr>
              <w:t>3</w:t>
            </w:r>
            <w:r>
              <w:rPr>
                <w:color w:val="000000"/>
              </w:rPr>
              <w:t xml:space="preserve">. </w:t>
            </w:r>
            <w:r w:rsidR="00885DFE">
              <w:rPr>
                <w:color w:val="000000"/>
              </w:rPr>
              <w:t>Response to Scope</w:t>
            </w:r>
            <w:r w:rsidR="00A864E9">
              <w:rPr>
                <w:color w:val="000000"/>
              </w:rPr>
              <w:t xml:space="preserve"> of Work</w:t>
            </w:r>
          </w:p>
        </w:tc>
        <w:tc>
          <w:tcPr>
            <w:tcW w:w="1900" w:type="dxa"/>
            <w:tcBorders>
              <w:top w:val="nil"/>
              <w:left w:val="nil"/>
              <w:bottom w:val="single" w:sz="8" w:space="0" w:color="auto"/>
              <w:right w:val="single" w:sz="8" w:space="0" w:color="auto"/>
            </w:tcBorders>
            <w:shd w:val="clear" w:color="auto" w:fill="auto"/>
            <w:vAlign w:val="center"/>
            <w:hideMark/>
          </w:tcPr>
          <w:p w14:paraId="32C6EE3B" w14:textId="3B05D0C4" w:rsidR="001915B7" w:rsidRPr="00A864E9" w:rsidRDefault="00885DFE" w:rsidP="000C5BB1">
            <w:pPr>
              <w:jc w:val="center"/>
              <w:rPr>
                <w:color w:val="000000"/>
              </w:rPr>
            </w:pPr>
            <w:r w:rsidRPr="00A864E9">
              <w:rPr>
                <w:color w:val="000000"/>
              </w:rPr>
              <w:t>300</w:t>
            </w:r>
          </w:p>
        </w:tc>
      </w:tr>
      <w:tr w:rsidR="001915B7" w14:paraId="2744B3F8" w14:textId="77777777" w:rsidTr="000C5BB1">
        <w:trPr>
          <w:trHeight w:val="330"/>
        </w:trPr>
        <w:tc>
          <w:tcPr>
            <w:tcW w:w="5200" w:type="dxa"/>
            <w:tcBorders>
              <w:top w:val="nil"/>
              <w:left w:val="single" w:sz="8" w:space="0" w:color="auto"/>
              <w:bottom w:val="single" w:sz="8" w:space="0" w:color="auto"/>
              <w:right w:val="single" w:sz="8" w:space="0" w:color="auto"/>
            </w:tcBorders>
            <w:shd w:val="clear" w:color="auto" w:fill="auto"/>
            <w:vAlign w:val="center"/>
            <w:hideMark/>
          </w:tcPr>
          <w:p w14:paraId="75B5B62A" w14:textId="77777777" w:rsidR="001915B7" w:rsidRDefault="001915B7" w:rsidP="000C5BB1">
            <w:pPr>
              <w:rPr>
                <w:b/>
                <w:bCs/>
                <w:color w:val="000000"/>
              </w:rPr>
            </w:pPr>
            <w:r>
              <w:rPr>
                <w:b/>
                <w:bCs/>
                <w:color w:val="000000"/>
              </w:rPr>
              <w:t>C.</w:t>
            </w:r>
            <w:r>
              <w:rPr>
                <w:b/>
                <w:bCs/>
                <w:color w:val="000000"/>
                <w:sz w:val="14"/>
                <w:szCs w:val="14"/>
              </w:rPr>
              <w:t xml:space="preserve">                 </w:t>
            </w:r>
            <w:r>
              <w:rPr>
                <w:b/>
                <w:bCs/>
                <w:color w:val="000000"/>
              </w:rPr>
              <w:t>Business Specifications (## Total Points)</w:t>
            </w:r>
          </w:p>
        </w:tc>
        <w:tc>
          <w:tcPr>
            <w:tcW w:w="1900" w:type="dxa"/>
            <w:tcBorders>
              <w:top w:val="nil"/>
              <w:left w:val="nil"/>
              <w:bottom w:val="single" w:sz="8" w:space="0" w:color="auto"/>
              <w:right w:val="single" w:sz="8" w:space="0" w:color="auto"/>
            </w:tcBorders>
            <w:shd w:val="clear" w:color="auto" w:fill="auto"/>
            <w:vAlign w:val="center"/>
            <w:hideMark/>
          </w:tcPr>
          <w:p w14:paraId="571A4E8F" w14:textId="77777777" w:rsidR="001915B7" w:rsidRDefault="001915B7" w:rsidP="000C5BB1">
            <w:pPr>
              <w:jc w:val="center"/>
              <w:rPr>
                <w:b/>
                <w:bCs/>
                <w:color w:val="000000"/>
              </w:rPr>
            </w:pPr>
            <w:r>
              <w:rPr>
                <w:b/>
                <w:bCs/>
                <w:color w:val="000000"/>
              </w:rPr>
              <w:t>300</w:t>
            </w:r>
          </w:p>
        </w:tc>
      </w:tr>
      <w:tr w:rsidR="001915B7" w14:paraId="0B84DC91" w14:textId="77777777" w:rsidTr="000C5BB1">
        <w:trPr>
          <w:trHeight w:val="330"/>
        </w:trPr>
        <w:tc>
          <w:tcPr>
            <w:tcW w:w="5200" w:type="dxa"/>
            <w:tcBorders>
              <w:top w:val="nil"/>
              <w:left w:val="single" w:sz="8" w:space="0" w:color="auto"/>
              <w:bottom w:val="single" w:sz="8" w:space="0" w:color="auto"/>
              <w:right w:val="single" w:sz="8" w:space="0" w:color="auto"/>
            </w:tcBorders>
            <w:shd w:val="clear" w:color="auto" w:fill="auto"/>
            <w:vAlign w:val="center"/>
            <w:hideMark/>
          </w:tcPr>
          <w:p w14:paraId="11B8F9C7" w14:textId="77777777" w:rsidR="001915B7" w:rsidRDefault="001915B7" w:rsidP="000C5BB1">
            <w:pPr>
              <w:rPr>
                <w:color w:val="000000"/>
              </w:rPr>
            </w:pPr>
            <w:r>
              <w:rPr>
                <w:color w:val="000000"/>
              </w:rPr>
              <w:t>C.1. Financial Stability</w:t>
            </w:r>
          </w:p>
        </w:tc>
        <w:tc>
          <w:tcPr>
            <w:tcW w:w="1900" w:type="dxa"/>
            <w:tcBorders>
              <w:top w:val="nil"/>
              <w:left w:val="nil"/>
              <w:bottom w:val="single" w:sz="8" w:space="0" w:color="auto"/>
              <w:right w:val="single" w:sz="8" w:space="0" w:color="auto"/>
            </w:tcBorders>
            <w:shd w:val="clear" w:color="auto" w:fill="auto"/>
            <w:vAlign w:val="center"/>
            <w:hideMark/>
          </w:tcPr>
          <w:p w14:paraId="0053021E" w14:textId="77777777" w:rsidR="001915B7" w:rsidRDefault="001915B7" w:rsidP="000C5BB1">
            <w:pPr>
              <w:jc w:val="center"/>
              <w:rPr>
                <w:b/>
                <w:bCs/>
                <w:color w:val="000000"/>
              </w:rPr>
            </w:pPr>
            <w:r>
              <w:rPr>
                <w:b/>
                <w:bCs/>
                <w:color w:val="000000"/>
              </w:rPr>
              <w:t>Pass/Fail</w:t>
            </w:r>
          </w:p>
        </w:tc>
      </w:tr>
      <w:tr w:rsidR="001915B7" w14:paraId="05D249E2" w14:textId="77777777" w:rsidTr="000C5BB1">
        <w:trPr>
          <w:trHeight w:val="330"/>
        </w:trPr>
        <w:tc>
          <w:tcPr>
            <w:tcW w:w="5200" w:type="dxa"/>
            <w:tcBorders>
              <w:top w:val="nil"/>
              <w:left w:val="single" w:sz="8" w:space="0" w:color="auto"/>
              <w:bottom w:val="single" w:sz="8" w:space="0" w:color="auto"/>
              <w:right w:val="single" w:sz="8" w:space="0" w:color="auto"/>
            </w:tcBorders>
            <w:shd w:val="clear" w:color="auto" w:fill="auto"/>
            <w:vAlign w:val="center"/>
            <w:hideMark/>
          </w:tcPr>
          <w:p w14:paraId="030E6BD7" w14:textId="77777777" w:rsidR="001915B7" w:rsidRDefault="001915B7" w:rsidP="000C5BB1">
            <w:pPr>
              <w:rPr>
                <w:color w:val="000000"/>
              </w:rPr>
            </w:pPr>
            <w:r>
              <w:rPr>
                <w:color w:val="000000"/>
              </w:rPr>
              <w:t>C.2. Letter Of Transmittal</w:t>
            </w:r>
          </w:p>
        </w:tc>
        <w:tc>
          <w:tcPr>
            <w:tcW w:w="1900" w:type="dxa"/>
            <w:tcBorders>
              <w:top w:val="nil"/>
              <w:left w:val="nil"/>
              <w:bottom w:val="single" w:sz="8" w:space="0" w:color="auto"/>
              <w:right w:val="single" w:sz="8" w:space="0" w:color="auto"/>
            </w:tcBorders>
            <w:shd w:val="clear" w:color="auto" w:fill="auto"/>
            <w:vAlign w:val="center"/>
            <w:hideMark/>
          </w:tcPr>
          <w:p w14:paraId="5B4BCBB2" w14:textId="77777777" w:rsidR="001915B7" w:rsidRDefault="001915B7" w:rsidP="000C5BB1">
            <w:pPr>
              <w:jc w:val="center"/>
              <w:rPr>
                <w:b/>
                <w:bCs/>
                <w:color w:val="000000"/>
              </w:rPr>
            </w:pPr>
            <w:r>
              <w:rPr>
                <w:b/>
                <w:bCs/>
                <w:color w:val="000000"/>
              </w:rPr>
              <w:t>Pass/Fail</w:t>
            </w:r>
          </w:p>
        </w:tc>
      </w:tr>
      <w:tr w:rsidR="001915B7" w14:paraId="0BA8F2B4" w14:textId="77777777" w:rsidTr="000C5BB1">
        <w:trPr>
          <w:trHeight w:val="330"/>
        </w:trPr>
        <w:tc>
          <w:tcPr>
            <w:tcW w:w="5200" w:type="dxa"/>
            <w:tcBorders>
              <w:top w:val="nil"/>
              <w:left w:val="single" w:sz="8" w:space="0" w:color="auto"/>
              <w:bottom w:val="single" w:sz="8" w:space="0" w:color="auto"/>
              <w:right w:val="single" w:sz="8" w:space="0" w:color="auto"/>
            </w:tcBorders>
            <w:shd w:val="clear" w:color="auto" w:fill="auto"/>
            <w:vAlign w:val="center"/>
            <w:hideMark/>
          </w:tcPr>
          <w:p w14:paraId="6F691AFF" w14:textId="77777777" w:rsidR="001915B7" w:rsidRDefault="001915B7" w:rsidP="000C5BB1">
            <w:pPr>
              <w:rPr>
                <w:color w:val="000000"/>
              </w:rPr>
            </w:pPr>
            <w:r>
              <w:rPr>
                <w:color w:val="000000"/>
              </w:rPr>
              <w:t>C.3. Campaign Contribution Disclosure Form</w:t>
            </w:r>
          </w:p>
        </w:tc>
        <w:tc>
          <w:tcPr>
            <w:tcW w:w="1900" w:type="dxa"/>
            <w:tcBorders>
              <w:top w:val="nil"/>
              <w:left w:val="nil"/>
              <w:bottom w:val="single" w:sz="8" w:space="0" w:color="auto"/>
              <w:right w:val="single" w:sz="8" w:space="0" w:color="auto"/>
            </w:tcBorders>
            <w:shd w:val="clear" w:color="auto" w:fill="auto"/>
            <w:vAlign w:val="center"/>
            <w:hideMark/>
          </w:tcPr>
          <w:p w14:paraId="2E3D95CF" w14:textId="77777777" w:rsidR="001915B7" w:rsidRDefault="001915B7" w:rsidP="000C5BB1">
            <w:pPr>
              <w:jc w:val="center"/>
              <w:rPr>
                <w:b/>
                <w:bCs/>
                <w:color w:val="000000"/>
              </w:rPr>
            </w:pPr>
            <w:r>
              <w:rPr>
                <w:b/>
                <w:bCs/>
                <w:color w:val="000000"/>
              </w:rPr>
              <w:t>Pass/Fail</w:t>
            </w:r>
          </w:p>
        </w:tc>
      </w:tr>
      <w:tr w:rsidR="001915B7" w14:paraId="4DB047C7" w14:textId="77777777" w:rsidTr="000C5BB1">
        <w:trPr>
          <w:trHeight w:val="330"/>
        </w:trPr>
        <w:tc>
          <w:tcPr>
            <w:tcW w:w="5200" w:type="dxa"/>
            <w:tcBorders>
              <w:top w:val="nil"/>
              <w:left w:val="single" w:sz="8" w:space="0" w:color="auto"/>
              <w:bottom w:val="single" w:sz="8" w:space="0" w:color="auto"/>
              <w:right w:val="single" w:sz="8" w:space="0" w:color="auto"/>
            </w:tcBorders>
            <w:shd w:val="clear" w:color="auto" w:fill="auto"/>
            <w:vAlign w:val="center"/>
            <w:hideMark/>
          </w:tcPr>
          <w:p w14:paraId="6B73A853" w14:textId="77777777" w:rsidR="001915B7" w:rsidRDefault="001915B7" w:rsidP="000C5BB1">
            <w:pPr>
              <w:rPr>
                <w:color w:val="000000"/>
              </w:rPr>
            </w:pPr>
            <w:r>
              <w:rPr>
                <w:color w:val="000000"/>
              </w:rPr>
              <w:t>C.4. Cost</w:t>
            </w:r>
          </w:p>
        </w:tc>
        <w:tc>
          <w:tcPr>
            <w:tcW w:w="1900" w:type="dxa"/>
            <w:tcBorders>
              <w:top w:val="nil"/>
              <w:left w:val="nil"/>
              <w:bottom w:val="single" w:sz="8" w:space="0" w:color="auto"/>
              <w:right w:val="single" w:sz="8" w:space="0" w:color="auto"/>
            </w:tcBorders>
            <w:shd w:val="clear" w:color="auto" w:fill="auto"/>
            <w:vAlign w:val="center"/>
            <w:hideMark/>
          </w:tcPr>
          <w:p w14:paraId="4F0D5630" w14:textId="77777777" w:rsidR="001915B7" w:rsidRPr="00A864E9" w:rsidRDefault="001915B7" w:rsidP="000C5BB1">
            <w:pPr>
              <w:jc w:val="center"/>
              <w:rPr>
                <w:color w:val="000000"/>
              </w:rPr>
            </w:pPr>
            <w:r w:rsidRPr="00A864E9">
              <w:rPr>
                <w:color w:val="000000"/>
              </w:rPr>
              <w:t>300</w:t>
            </w:r>
          </w:p>
        </w:tc>
      </w:tr>
      <w:tr w:rsidR="001915B7" w14:paraId="0B6CDE03" w14:textId="77777777" w:rsidTr="000C5BB1">
        <w:trPr>
          <w:trHeight w:val="330"/>
        </w:trPr>
        <w:tc>
          <w:tcPr>
            <w:tcW w:w="5200" w:type="dxa"/>
            <w:tcBorders>
              <w:top w:val="nil"/>
              <w:left w:val="single" w:sz="8" w:space="0" w:color="auto"/>
              <w:bottom w:val="single" w:sz="8" w:space="0" w:color="auto"/>
              <w:right w:val="single" w:sz="8" w:space="0" w:color="auto"/>
            </w:tcBorders>
            <w:shd w:val="clear" w:color="auto" w:fill="auto"/>
            <w:vAlign w:val="center"/>
            <w:hideMark/>
          </w:tcPr>
          <w:p w14:paraId="7EBE7D0C" w14:textId="77777777" w:rsidR="001915B7" w:rsidRDefault="001915B7" w:rsidP="000C5BB1">
            <w:pPr>
              <w:jc w:val="right"/>
              <w:rPr>
                <w:b/>
                <w:bCs/>
                <w:color w:val="000000"/>
              </w:rPr>
            </w:pPr>
            <w:r>
              <w:rPr>
                <w:b/>
                <w:bCs/>
                <w:color w:val="000000"/>
              </w:rPr>
              <w:t>TOTAL POINTS AVAILABLE</w:t>
            </w:r>
          </w:p>
        </w:tc>
        <w:tc>
          <w:tcPr>
            <w:tcW w:w="1900" w:type="dxa"/>
            <w:tcBorders>
              <w:top w:val="nil"/>
              <w:left w:val="nil"/>
              <w:bottom w:val="single" w:sz="8" w:space="0" w:color="auto"/>
              <w:right w:val="single" w:sz="8" w:space="0" w:color="auto"/>
            </w:tcBorders>
            <w:shd w:val="clear" w:color="auto" w:fill="auto"/>
            <w:vAlign w:val="center"/>
            <w:hideMark/>
          </w:tcPr>
          <w:p w14:paraId="6CD03ACE" w14:textId="77777777" w:rsidR="001915B7" w:rsidRDefault="001915B7" w:rsidP="000C5BB1">
            <w:pPr>
              <w:jc w:val="center"/>
              <w:rPr>
                <w:b/>
                <w:bCs/>
                <w:color w:val="000000"/>
              </w:rPr>
            </w:pPr>
            <w:r>
              <w:rPr>
                <w:b/>
                <w:bCs/>
                <w:color w:val="000000"/>
              </w:rPr>
              <w:t>1,000</w:t>
            </w:r>
          </w:p>
        </w:tc>
      </w:tr>
    </w:tbl>
    <w:p w14:paraId="40C01CFF" w14:textId="65A4DDCD" w:rsidR="001915B7" w:rsidRDefault="001915B7" w:rsidP="001915B7"/>
    <w:p w14:paraId="132287C2" w14:textId="77777777" w:rsidR="00885DFE" w:rsidRDefault="00885DFE" w:rsidP="00885DFE">
      <w:pPr>
        <w:ind w:left="630"/>
      </w:pPr>
      <w:r w:rsidRPr="0010759D">
        <w:t>Table 1: Evaluation Point Summary</w:t>
      </w:r>
    </w:p>
    <w:p w14:paraId="5BCC55A0" w14:textId="77777777" w:rsidR="001D00AE" w:rsidRDefault="001D00AE" w:rsidP="001D00AE"/>
    <w:p w14:paraId="48B2524A" w14:textId="77777777" w:rsidR="001D00AE" w:rsidRDefault="001D00AE" w:rsidP="001D00AE"/>
    <w:p w14:paraId="6EE92D48" w14:textId="77777777" w:rsidR="001D00AE" w:rsidRPr="001D00AE" w:rsidRDefault="001D00AE" w:rsidP="001D00AE">
      <w:pPr>
        <w:numPr>
          <w:ilvl w:val="0"/>
          <w:numId w:val="5"/>
        </w:numPr>
        <w:rPr>
          <w:b/>
          <w:bCs/>
          <w:iCs/>
        </w:rPr>
      </w:pPr>
      <w:bookmarkStart w:id="4" w:name="_Toc377565384"/>
      <w:bookmarkStart w:id="5" w:name="_Toc112682239"/>
      <w:bookmarkStart w:id="6" w:name="_Toc161661692"/>
      <w:r w:rsidRPr="001D00AE">
        <w:rPr>
          <w:b/>
          <w:bCs/>
          <w:iCs/>
        </w:rPr>
        <w:t>EVALUATION FACTORS</w:t>
      </w:r>
      <w:bookmarkEnd w:id="4"/>
      <w:bookmarkEnd w:id="5"/>
      <w:bookmarkEnd w:id="6"/>
    </w:p>
    <w:p w14:paraId="027B265C" w14:textId="77777777" w:rsidR="001D00AE" w:rsidRPr="001D00AE" w:rsidRDefault="001D00AE" w:rsidP="001D00AE">
      <w:pPr>
        <w:numPr>
          <w:ilvl w:val="0"/>
          <w:numId w:val="6"/>
        </w:numPr>
        <w:rPr>
          <w:b/>
          <w:bCs/>
        </w:rPr>
      </w:pPr>
      <w:bookmarkStart w:id="7" w:name="_Toc377565385"/>
      <w:bookmarkStart w:id="8" w:name="_Toc112682240"/>
      <w:bookmarkStart w:id="9" w:name="_Toc161661693"/>
      <w:r w:rsidRPr="001D00AE">
        <w:rPr>
          <w:b/>
          <w:bCs/>
        </w:rPr>
        <w:t>B.1 Organizational Experience (See Evaluation Factors Table 1)</w:t>
      </w:r>
      <w:bookmarkEnd w:id="7"/>
      <w:bookmarkEnd w:id="8"/>
      <w:bookmarkEnd w:id="9"/>
    </w:p>
    <w:p w14:paraId="497B4CFF" w14:textId="77777777" w:rsidR="001D00AE" w:rsidRPr="001D00AE" w:rsidRDefault="001D00AE" w:rsidP="001D00AE">
      <w:r w:rsidRPr="001D00AE">
        <w:t>Points will be awarded based on the thoroughness and clarity of Offeror’s response in this Section.  The Evaluation Committee will also weigh the relevancy and extent of Offeror’s experience, expertise and knowledge; and of personnel education, experience and certifications/licenses.  In addition, points will be awarded based on Offeror’s candid and well-</w:t>
      </w:r>
      <w:r w:rsidRPr="001D00AE">
        <w:lastRenderedPageBreak/>
        <w:t>thought-out response to successes and failures, as well as the ability of the Offeror to learn from its failures and grow from its successes.</w:t>
      </w:r>
    </w:p>
    <w:p w14:paraId="1A45A79C" w14:textId="77777777" w:rsidR="001D00AE" w:rsidRPr="001D00AE" w:rsidRDefault="001D00AE" w:rsidP="001D00AE"/>
    <w:p w14:paraId="7D3BD566" w14:textId="77777777" w:rsidR="001D00AE" w:rsidRPr="001D00AE" w:rsidRDefault="001D00AE" w:rsidP="001D00AE">
      <w:pPr>
        <w:numPr>
          <w:ilvl w:val="0"/>
          <w:numId w:val="6"/>
        </w:numPr>
        <w:rPr>
          <w:b/>
          <w:bCs/>
        </w:rPr>
      </w:pPr>
      <w:bookmarkStart w:id="10" w:name="_Toc377565386"/>
      <w:bookmarkStart w:id="11" w:name="_Toc112682241"/>
      <w:bookmarkStart w:id="12" w:name="_Toc161661694"/>
      <w:r w:rsidRPr="001D00AE">
        <w:rPr>
          <w:b/>
          <w:bCs/>
        </w:rPr>
        <w:t>B.2 Organizational References (See Evaluation Factors Table 1)</w:t>
      </w:r>
      <w:bookmarkEnd w:id="10"/>
      <w:bookmarkEnd w:id="11"/>
      <w:bookmarkEnd w:id="12"/>
    </w:p>
    <w:p w14:paraId="7B76A010" w14:textId="77777777" w:rsidR="001D00AE" w:rsidRPr="001D00AE" w:rsidRDefault="001D00AE" w:rsidP="001D00AE"/>
    <w:p w14:paraId="10E78951" w14:textId="77777777" w:rsidR="001D00AE" w:rsidRPr="001D00AE" w:rsidRDefault="001D00AE" w:rsidP="001D00AE">
      <w:r w:rsidRPr="001D00AE">
        <w:t>Points will be awarded based upon an evaluation of the responses to a series of questions on the Organizational Reference Questionnaire (Appendix F). Offeror will be evaluated on references that show positive service history, successful execution of services and evidence of satisfaction by each reference.  References indicating significantly similar services/scopes of work and comments provided by a submitted reference will add weight and value to a recommendation during the evaluation process.  Points will be awarded for each individual response up to 1/3 of the total points for this category.  Lack of a response will receive zero (0) points.</w:t>
      </w:r>
    </w:p>
    <w:p w14:paraId="1D8B9383" w14:textId="77777777" w:rsidR="001D00AE" w:rsidRPr="001D00AE" w:rsidRDefault="001D00AE" w:rsidP="001D00AE"/>
    <w:p w14:paraId="0EA6CD14" w14:textId="77777777" w:rsidR="001D00AE" w:rsidRDefault="001D00AE" w:rsidP="001D00AE">
      <w:r w:rsidRPr="001D00AE">
        <w:t xml:space="preserve">The Evaluation Committee may contact any or all business references for validation of information submitted. If this step is taken, the Procurement Manager and the Evaluation Committee must all be together on a conference call with the submitted reference so that the Procurement Manager and all members of the Evaluation Committee receive the same information. Additionally, the Agency reserves the right to consider </w:t>
      </w:r>
      <w:proofErr w:type="gramStart"/>
      <w:r w:rsidRPr="001D00AE">
        <w:t>any and all</w:t>
      </w:r>
      <w:proofErr w:type="gramEnd"/>
      <w:r w:rsidRPr="001D00AE">
        <w:t xml:space="preserve"> information available to it (outside of the Organizational Reference information required herein), in its evaluation of Offeror responsibility per Section II.C.18.</w:t>
      </w:r>
    </w:p>
    <w:p w14:paraId="0125F195" w14:textId="77777777" w:rsidR="001D00AE" w:rsidRDefault="001D00AE" w:rsidP="001D00AE"/>
    <w:p w14:paraId="63EF20D9" w14:textId="77777777" w:rsidR="001D00AE" w:rsidRDefault="001D00AE" w:rsidP="001D00AE"/>
    <w:p w14:paraId="291608B6" w14:textId="32EB026F" w:rsidR="001D00AE" w:rsidRPr="001D00AE" w:rsidRDefault="001D00AE" w:rsidP="001D00AE">
      <w:pPr>
        <w:numPr>
          <w:ilvl w:val="0"/>
          <w:numId w:val="8"/>
        </w:numPr>
        <w:rPr>
          <w:b/>
          <w:bCs/>
        </w:rPr>
      </w:pPr>
      <w:r w:rsidRPr="001D00AE">
        <w:rPr>
          <w:b/>
          <w:bCs/>
        </w:rPr>
        <w:t>B</w:t>
      </w:r>
      <w:r>
        <w:rPr>
          <w:b/>
          <w:bCs/>
        </w:rPr>
        <w:t>.</w:t>
      </w:r>
      <w:r w:rsidRPr="001D00AE">
        <w:rPr>
          <w:b/>
          <w:bCs/>
        </w:rPr>
        <w:t>3 Response to Scope of Work (See Evaluation Factors Table 1)</w:t>
      </w:r>
    </w:p>
    <w:p w14:paraId="05B6487F" w14:textId="4D58F42D" w:rsidR="001D00AE" w:rsidRPr="001D00AE" w:rsidRDefault="001D00AE" w:rsidP="001D00AE">
      <w:pPr>
        <w:pStyle w:val="ListParagraph"/>
        <w:ind w:left="1080"/>
        <w:rPr>
          <w:b/>
          <w:bCs/>
        </w:rPr>
      </w:pPr>
    </w:p>
    <w:p w14:paraId="159C793E" w14:textId="33C6DC06" w:rsidR="001D00AE" w:rsidRDefault="001D00AE" w:rsidP="001D00AE">
      <w:r>
        <w:t>Points will be awarded based upon the evaluation of the responses to the series of items listed under the Detailed Scope of Work section.  Potential offers should detail their approach and methodology for completing the scope of work, along with any detail needed for each item being requested. This is also an acceptable place to include a detailed workplan showing how the scope will be completed by June 30</w:t>
      </w:r>
      <w:r w:rsidRPr="001D00AE">
        <w:rPr>
          <w:vertAlign w:val="superscript"/>
        </w:rPr>
        <w:t>th</w:t>
      </w:r>
      <w:r>
        <w:t xml:space="preserve">, 2025.   </w:t>
      </w:r>
    </w:p>
    <w:p w14:paraId="5300C71F" w14:textId="77777777" w:rsidR="001D00AE" w:rsidRDefault="001D00AE" w:rsidP="001D00AE">
      <w:pPr>
        <w:pStyle w:val="ListParagraph"/>
        <w:ind w:left="1080"/>
      </w:pPr>
    </w:p>
    <w:p w14:paraId="63700A8C" w14:textId="77777777" w:rsidR="001D00AE" w:rsidRDefault="001D00AE" w:rsidP="001D00AE"/>
    <w:p w14:paraId="22A8080E" w14:textId="77777777" w:rsidR="001D00AE" w:rsidRPr="001D00AE" w:rsidRDefault="001D00AE" w:rsidP="001D00AE">
      <w:pPr>
        <w:pStyle w:val="ListParagraph"/>
        <w:ind w:left="1080"/>
      </w:pPr>
    </w:p>
    <w:p w14:paraId="30162C7E" w14:textId="77777777" w:rsidR="001D00AE" w:rsidRPr="001D00AE" w:rsidRDefault="001D00AE" w:rsidP="001D00AE">
      <w:pPr>
        <w:numPr>
          <w:ilvl w:val="0"/>
          <w:numId w:val="8"/>
        </w:numPr>
        <w:rPr>
          <w:b/>
          <w:bCs/>
        </w:rPr>
      </w:pPr>
      <w:bookmarkStart w:id="13" w:name="_Toc377565391"/>
      <w:bookmarkStart w:id="14" w:name="_Toc112682244"/>
      <w:bookmarkStart w:id="15" w:name="_Toc161661697"/>
      <w:r w:rsidRPr="001D00AE">
        <w:rPr>
          <w:b/>
          <w:bCs/>
        </w:rPr>
        <w:t>C.1 Financial Stability (See Table 1)</w:t>
      </w:r>
      <w:bookmarkEnd w:id="13"/>
      <w:bookmarkEnd w:id="14"/>
      <w:bookmarkEnd w:id="15"/>
      <w:r w:rsidRPr="001D00AE">
        <w:rPr>
          <w:b/>
          <w:bCs/>
        </w:rPr>
        <w:t xml:space="preserve"> Offer must have a valid email address to send or receive correspondence</w:t>
      </w:r>
    </w:p>
    <w:p w14:paraId="5DB5A867" w14:textId="77777777" w:rsidR="001D00AE" w:rsidRPr="001D00AE" w:rsidRDefault="001D00AE" w:rsidP="001D00AE">
      <w:r w:rsidRPr="001D00AE">
        <w:t xml:space="preserve">Pass/Fail only.  No points assigned. </w:t>
      </w:r>
    </w:p>
    <w:p w14:paraId="1D0A4DF6" w14:textId="77777777" w:rsidR="001D00AE" w:rsidRPr="001D00AE" w:rsidRDefault="001D00AE" w:rsidP="001D00AE">
      <w:pPr>
        <w:numPr>
          <w:ilvl w:val="0"/>
          <w:numId w:val="8"/>
        </w:numPr>
        <w:rPr>
          <w:b/>
          <w:bCs/>
        </w:rPr>
      </w:pPr>
      <w:bookmarkStart w:id="16" w:name="_Toc377565393"/>
      <w:bookmarkStart w:id="17" w:name="_Toc112682246"/>
      <w:bookmarkStart w:id="18" w:name="_Toc161661699"/>
      <w:r w:rsidRPr="001D00AE">
        <w:rPr>
          <w:b/>
          <w:bCs/>
        </w:rPr>
        <w:t>C.2 Letter of Transmittal (See Table 1)</w:t>
      </w:r>
      <w:bookmarkEnd w:id="16"/>
      <w:bookmarkEnd w:id="17"/>
      <w:bookmarkEnd w:id="18"/>
    </w:p>
    <w:p w14:paraId="2F5DA857" w14:textId="77777777" w:rsidR="001D00AE" w:rsidRPr="001D00AE" w:rsidRDefault="001D00AE" w:rsidP="001D00AE">
      <w:bookmarkStart w:id="19" w:name="_Hlk169616426"/>
      <w:r w:rsidRPr="001D00AE">
        <w:t>Pass/Fail only.  No points assigned.</w:t>
      </w:r>
    </w:p>
    <w:p w14:paraId="370FE081" w14:textId="77777777" w:rsidR="001D00AE" w:rsidRPr="001D00AE" w:rsidRDefault="001D00AE" w:rsidP="001D00AE">
      <w:pPr>
        <w:numPr>
          <w:ilvl w:val="0"/>
          <w:numId w:val="8"/>
        </w:numPr>
        <w:rPr>
          <w:b/>
          <w:bCs/>
        </w:rPr>
      </w:pPr>
      <w:bookmarkStart w:id="20" w:name="_Toc377565394"/>
      <w:bookmarkEnd w:id="19"/>
      <w:r w:rsidRPr="001D00AE">
        <w:rPr>
          <w:b/>
          <w:bCs/>
        </w:rPr>
        <w:t xml:space="preserve"> </w:t>
      </w:r>
      <w:bookmarkStart w:id="21" w:name="_Toc112682247"/>
      <w:bookmarkStart w:id="22" w:name="_Toc161661700"/>
      <w:r w:rsidRPr="001D00AE">
        <w:rPr>
          <w:b/>
          <w:bCs/>
        </w:rPr>
        <w:t>C.3 Campaign Contribution Disclosure Form (See Table 1)</w:t>
      </w:r>
      <w:bookmarkEnd w:id="20"/>
      <w:bookmarkEnd w:id="21"/>
      <w:bookmarkEnd w:id="22"/>
    </w:p>
    <w:p w14:paraId="772498F7" w14:textId="77777777" w:rsidR="001D00AE" w:rsidRPr="001D00AE" w:rsidRDefault="001D00AE" w:rsidP="001D00AE">
      <w:r w:rsidRPr="001D00AE">
        <w:t>Pass/Fail only. No points assigned.</w:t>
      </w:r>
    </w:p>
    <w:p w14:paraId="520D2F58" w14:textId="77777777" w:rsidR="001D00AE" w:rsidRPr="001D00AE" w:rsidRDefault="001D00AE" w:rsidP="001D00AE">
      <w:pPr>
        <w:numPr>
          <w:ilvl w:val="0"/>
          <w:numId w:val="8"/>
        </w:numPr>
        <w:rPr>
          <w:b/>
          <w:bCs/>
        </w:rPr>
      </w:pPr>
      <w:bookmarkStart w:id="23" w:name="_Toc112682249"/>
      <w:bookmarkStart w:id="24" w:name="_Toc161661702"/>
      <w:r w:rsidRPr="001D00AE">
        <w:rPr>
          <w:b/>
          <w:bCs/>
        </w:rPr>
        <w:t>C.4 Cost (See Table 1)</w:t>
      </w:r>
      <w:bookmarkEnd w:id="23"/>
      <w:bookmarkEnd w:id="24"/>
    </w:p>
    <w:p w14:paraId="5EDE274C" w14:textId="77777777" w:rsidR="001D00AE" w:rsidRPr="001D00AE" w:rsidRDefault="001D00AE" w:rsidP="001D00AE"/>
    <w:p w14:paraId="0B9670C5" w14:textId="77777777" w:rsidR="001D00AE" w:rsidRPr="001D00AE" w:rsidRDefault="001D00AE" w:rsidP="001D00AE">
      <w:r w:rsidRPr="001D00AE">
        <w:t xml:space="preserve">The evaluation of each Offeror’s cost proposal will be conducted using the following formula: </w:t>
      </w:r>
    </w:p>
    <w:p w14:paraId="2570E719" w14:textId="77777777" w:rsidR="001D00AE" w:rsidRPr="001D00AE" w:rsidRDefault="001D00AE" w:rsidP="001D00AE"/>
    <w:p w14:paraId="775E6007" w14:textId="77777777" w:rsidR="001D00AE" w:rsidRPr="001D00AE" w:rsidRDefault="001D00AE" w:rsidP="001D00AE">
      <w:r w:rsidRPr="001D00AE">
        <w:tab/>
        <w:t>Lowest Responsive Offeror’s Cost</w:t>
      </w:r>
    </w:p>
    <w:p w14:paraId="7A96E45A" w14:textId="77777777" w:rsidR="001D00AE" w:rsidRPr="001D00AE" w:rsidRDefault="001D00AE" w:rsidP="001D00AE">
      <w:r w:rsidRPr="001D00AE">
        <w:tab/>
        <w:t>-------------------------------------------------------</w:t>
      </w:r>
      <w:r w:rsidRPr="001D00AE">
        <w:tab/>
        <w:t>X    Available Award Points</w:t>
      </w:r>
    </w:p>
    <w:p w14:paraId="697CF793" w14:textId="77777777" w:rsidR="001D00AE" w:rsidRPr="0010759D" w:rsidRDefault="001D00AE" w:rsidP="001D00AE"/>
    <w:p w14:paraId="229A43AA" w14:textId="77777777" w:rsidR="00885DFE" w:rsidRDefault="00885DFE" w:rsidP="001915B7"/>
    <w:p w14:paraId="2EC9778F" w14:textId="77777777" w:rsidR="00885DFE" w:rsidRDefault="00885DFE" w:rsidP="001915B7"/>
    <w:p w14:paraId="33E99828" w14:textId="6482CF16" w:rsidR="00885DFE" w:rsidRPr="001915B7" w:rsidRDefault="00885DFE" w:rsidP="00885DFE">
      <w:pPr>
        <w:rPr>
          <w:b/>
          <w:bCs/>
        </w:rPr>
      </w:pPr>
      <w:r w:rsidRPr="001915B7">
        <w:rPr>
          <w:b/>
          <w:bCs/>
        </w:rPr>
        <w:t xml:space="preserve">CHANGE ON PAGE </w:t>
      </w:r>
      <w:r>
        <w:rPr>
          <w:b/>
          <w:bCs/>
        </w:rPr>
        <w:t>55</w:t>
      </w:r>
      <w:r w:rsidRPr="001915B7">
        <w:rPr>
          <w:b/>
          <w:bCs/>
        </w:rPr>
        <w:t>:</w:t>
      </w:r>
    </w:p>
    <w:p w14:paraId="237F10D2" w14:textId="77777777" w:rsidR="00885DFE" w:rsidRDefault="00885DFE" w:rsidP="00885DFE"/>
    <w:p w14:paraId="5CB51D68" w14:textId="47F6A169" w:rsidR="00885DFE" w:rsidRPr="001915B7" w:rsidRDefault="00885DFE" w:rsidP="00885DFE">
      <w:pPr>
        <w:rPr>
          <w:b/>
          <w:bCs/>
        </w:rPr>
      </w:pPr>
      <w:r w:rsidRPr="00D102CF">
        <w:rPr>
          <w:b/>
          <w:bCs/>
          <w:highlight w:val="yellow"/>
        </w:rPr>
        <w:t xml:space="preserve">Appendix D – Cost Response Form is hereby amended to reflect the correct term length of this </w:t>
      </w:r>
      <w:proofErr w:type="gramStart"/>
      <w:r w:rsidRPr="00D102CF">
        <w:rPr>
          <w:b/>
          <w:bCs/>
          <w:highlight w:val="yellow"/>
        </w:rPr>
        <w:t>RFP</w:t>
      </w:r>
      <w:proofErr w:type="gramEnd"/>
      <w:r w:rsidR="00C97DE4">
        <w:rPr>
          <w:b/>
          <w:bCs/>
          <w:highlight w:val="yellow"/>
        </w:rPr>
        <w:t xml:space="preserve"> and a Fixed Cost Deliverable based contract</w:t>
      </w:r>
      <w:r w:rsidRPr="00D102CF">
        <w:rPr>
          <w:b/>
          <w:bCs/>
          <w:highlight w:val="yellow"/>
        </w:rPr>
        <w:t>.</w:t>
      </w:r>
    </w:p>
    <w:p w14:paraId="2B3605CF" w14:textId="77777777" w:rsidR="00885DFE" w:rsidRDefault="00885DFE" w:rsidP="00885DFE"/>
    <w:p w14:paraId="5289A6AC" w14:textId="2EAFFD23" w:rsidR="00885DFE" w:rsidRPr="001915B7" w:rsidRDefault="00885DFE" w:rsidP="00885DFE">
      <w:pPr>
        <w:rPr>
          <w:b/>
          <w:bCs/>
        </w:rPr>
      </w:pPr>
      <w:r>
        <w:rPr>
          <w:b/>
          <w:bCs/>
        </w:rPr>
        <w:t>APPENDIX D</w:t>
      </w:r>
      <w:r w:rsidRPr="001915B7">
        <w:rPr>
          <w:b/>
          <w:bCs/>
        </w:rPr>
        <w:t xml:space="preserve"> – </w:t>
      </w:r>
      <w:r>
        <w:rPr>
          <w:b/>
          <w:bCs/>
        </w:rPr>
        <w:t>COST RESPONSE FORM</w:t>
      </w:r>
    </w:p>
    <w:p w14:paraId="4BBCF8E3" w14:textId="47D027ED" w:rsidR="00885DFE" w:rsidRDefault="00885DFE" w:rsidP="001915B7"/>
    <w:p w14:paraId="5D8DDD0A" w14:textId="77777777" w:rsidR="00D102CF" w:rsidRPr="00D102CF" w:rsidRDefault="00D102CF" w:rsidP="00D102CF">
      <w:pPr>
        <w:keepNext/>
        <w:spacing w:before="240" w:after="60"/>
        <w:jc w:val="center"/>
        <w:outlineLvl w:val="0"/>
        <w:rPr>
          <w:b/>
          <w:bCs/>
          <w:kern w:val="32"/>
          <w:sz w:val="32"/>
          <w:szCs w:val="32"/>
        </w:rPr>
      </w:pPr>
      <w:bookmarkStart w:id="25" w:name="_Toc312927622"/>
      <w:bookmarkStart w:id="26" w:name="_Toc377565403"/>
      <w:bookmarkStart w:id="27" w:name="_Toc112682258"/>
      <w:bookmarkStart w:id="28" w:name="_Toc178935548"/>
      <w:r w:rsidRPr="00D102CF">
        <w:rPr>
          <w:b/>
          <w:bCs/>
          <w:kern w:val="32"/>
          <w:sz w:val="32"/>
          <w:szCs w:val="32"/>
        </w:rPr>
        <w:t>APPENDIX D</w:t>
      </w:r>
      <w:bookmarkEnd w:id="25"/>
      <w:bookmarkEnd w:id="26"/>
      <w:bookmarkEnd w:id="27"/>
      <w:bookmarkEnd w:id="28"/>
    </w:p>
    <w:p w14:paraId="2665A6F8" w14:textId="77777777" w:rsidR="00D102CF" w:rsidRPr="00D102CF" w:rsidRDefault="00D102CF" w:rsidP="00D102CF">
      <w:pPr>
        <w:keepNext/>
        <w:spacing w:before="240" w:after="60"/>
        <w:jc w:val="center"/>
        <w:outlineLvl w:val="0"/>
        <w:rPr>
          <w:b/>
          <w:bCs/>
          <w:kern w:val="32"/>
          <w:sz w:val="32"/>
          <w:szCs w:val="32"/>
        </w:rPr>
      </w:pPr>
      <w:bookmarkStart w:id="29" w:name="_Toc377565404"/>
      <w:bookmarkStart w:id="30" w:name="_Toc112682259"/>
      <w:bookmarkStart w:id="31" w:name="_Toc178935549"/>
      <w:r w:rsidRPr="00D102CF">
        <w:rPr>
          <w:b/>
          <w:bCs/>
          <w:kern w:val="32"/>
          <w:sz w:val="32"/>
          <w:szCs w:val="32"/>
        </w:rPr>
        <w:t>COST RESPONSE FOR</w:t>
      </w:r>
      <w:bookmarkEnd w:id="29"/>
      <w:bookmarkEnd w:id="30"/>
      <w:r w:rsidRPr="00D102CF">
        <w:rPr>
          <w:b/>
          <w:bCs/>
          <w:kern w:val="32"/>
          <w:sz w:val="32"/>
          <w:szCs w:val="32"/>
        </w:rPr>
        <w:t>M</w:t>
      </w:r>
      <w:bookmarkEnd w:id="31"/>
    </w:p>
    <w:p w14:paraId="24C345DF" w14:textId="77777777" w:rsidR="00D102CF" w:rsidRPr="00D102CF" w:rsidRDefault="00D102CF" w:rsidP="00D102CF">
      <w:pPr>
        <w:rPr>
          <w:szCs w:val="40"/>
          <w:highlight w:val="yellow"/>
        </w:rPr>
      </w:pPr>
    </w:p>
    <w:p w14:paraId="58B5BC21" w14:textId="77777777" w:rsidR="00D102CF" w:rsidRPr="00D102CF" w:rsidRDefault="00D102CF" w:rsidP="00D102CF">
      <w:pPr>
        <w:rPr>
          <w:bCs/>
          <w:iCs/>
          <w:color w:val="000000"/>
          <w:sz w:val="22"/>
          <w:szCs w:val="22"/>
        </w:rPr>
      </w:pPr>
    </w:p>
    <w:tbl>
      <w:tblPr>
        <w:tblStyle w:val="TableGrid"/>
        <w:tblW w:w="0" w:type="auto"/>
        <w:tblLook w:val="04A0" w:firstRow="1" w:lastRow="0" w:firstColumn="1" w:lastColumn="0" w:noHBand="0" w:noVBand="1"/>
      </w:tblPr>
      <w:tblGrid>
        <w:gridCol w:w="4681"/>
        <w:gridCol w:w="4669"/>
      </w:tblGrid>
      <w:tr w:rsidR="00D102CF" w:rsidRPr="00D102CF" w14:paraId="2D7C3F55" w14:textId="77777777" w:rsidTr="000C5BB1">
        <w:trPr>
          <w:trHeight w:val="602"/>
        </w:trPr>
        <w:tc>
          <w:tcPr>
            <w:tcW w:w="4765" w:type="dxa"/>
          </w:tcPr>
          <w:p w14:paraId="4EFF1C9F" w14:textId="77777777" w:rsidR="00D102CF" w:rsidRPr="00D102CF" w:rsidRDefault="00D102CF" w:rsidP="00D102CF">
            <w:pPr>
              <w:jc w:val="center"/>
              <w:rPr>
                <w:b/>
                <w:iCs/>
                <w:color w:val="000000"/>
                <w:sz w:val="22"/>
                <w:szCs w:val="22"/>
              </w:rPr>
            </w:pPr>
            <w:r w:rsidRPr="00D102CF">
              <w:rPr>
                <w:b/>
                <w:iCs/>
                <w:color w:val="000000"/>
                <w:sz w:val="22"/>
                <w:szCs w:val="22"/>
              </w:rPr>
              <w:t>Technical Specifications based on Detailed Scope of Work</w:t>
            </w:r>
          </w:p>
        </w:tc>
        <w:tc>
          <w:tcPr>
            <w:tcW w:w="4765" w:type="dxa"/>
          </w:tcPr>
          <w:p w14:paraId="2BF9E96A" w14:textId="0A80BACB" w:rsidR="00D102CF" w:rsidRPr="00D102CF" w:rsidRDefault="00C97DE4" w:rsidP="00D102CF">
            <w:pPr>
              <w:jc w:val="center"/>
              <w:rPr>
                <w:b/>
                <w:iCs/>
                <w:color w:val="000000"/>
                <w:sz w:val="22"/>
                <w:szCs w:val="22"/>
              </w:rPr>
            </w:pPr>
            <w:r>
              <w:rPr>
                <w:b/>
                <w:iCs/>
                <w:color w:val="000000"/>
                <w:sz w:val="22"/>
                <w:szCs w:val="22"/>
              </w:rPr>
              <w:t>Total Cost</w:t>
            </w:r>
            <w:r w:rsidR="00D102CF" w:rsidRPr="00D102CF">
              <w:rPr>
                <w:b/>
                <w:iCs/>
                <w:color w:val="000000"/>
                <w:sz w:val="22"/>
                <w:szCs w:val="22"/>
              </w:rPr>
              <w:t xml:space="preserve"> (</w:t>
            </w:r>
            <w:r>
              <w:rPr>
                <w:b/>
                <w:iCs/>
                <w:color w:val="000000"/>
                <w:sz w:val="22"/>
                <w:szCs w:val="22"/>
              </w:rPr>
              <w:t>inclusive of GRT</w:t>
            </w:r>
            <w:r w:rsidR="00D102CF" w:rsidRPr="00D102CF">
              <w:rPr>
                <w:b/>
                <w:iCs/>
                <w:color w:val="000000"/>
                <w:sz w:val="22"/>
                <w:szCs w:val="22"/>
              </w:rPr>
              <w:t>)</w:t>
            </w:r>
          </w:p>
        </w:tc>
      </w:tr>
      <w:tr w:rsidR="00D102CF" w:rsidRPr="00D102CF" w14:paraId="74AD6E48" w14:textId="77777777" w:rsidTr="000C5BB1">
        <w:trPr>
          <w:trHeight w:val="710"/>
        </w:trPr>
        <w:tc>
          <w:tcPr>
            <w:tcW w:w="4765" w:type="dxa"/>
          </w:tcPr>
          <w:p w14:paraId="12965FB9" w14:textId="77777777" w:rsidR="00D102CF" w:rsidRPr="00D102CF" w:rsidRDefault="00D102CF" w:rsidP="00D102CF">
            <w:pPr>
              <w:autoSpaceDE w:val="0"/>
              <w:autoSpaceDN w:val="0"/>
              <w:adjustRightInd w:val="0"/>
              <w:rPr>
                <w:color w:val="000000"/>
              </w:rPr>
            </w:pPr>
            <w:r w:rsidRPr="00D102CF">
              <w:rPr>
                <w:b/>
                <w:bCs/>
                <w:color w:val="000000"/>
              </w:rPr>
              <w:t xml:space="preserve">a) Develop and implement a rate study methodology that </w:t>
            </w:r>
            <w:proofErr w:type="gramStart"/>
            <w:r w:rsidRPr="00D102CF">
              <w:rPr>
                <w:b/>
                <w:bCs/>
                <w:color w:val="000000"/>
              </w:rPr>
              <w:t>includes, but</w:t>
            </w:r>
            <w:proofErr w:type="gramEnd"/>
            <w:r w:rsidRPr="00D102CF">
              <w:rPr>
                <w:b/>
                <w:bCs/>
                <w:color w:val="000000"/>
              </w:rPr>
              <w:t xml:space="preserve"> is not limited to the collection of data.</w:t>
            </w:r>
          </w:p>
        </w:tc>
        <w:tc>
          <w:tcPr>
            <w:tcW w:w="4765" w:type="dxa"/>
          </w:tcPr>
          <w:p w14:paraId="2DE2E665" w14:textId="77777777" w:rsidR="00D102CF" w:rsidRPr="00D102CF" w:rsidRDefault="00D102CF" w:rsidP="00D102CF">
            <w:pPr>
              <w:rPr>
                <w:bCs/>
                <w:iCs/>
                <w:color w:val="000000"/>
                <w:sz w:val="22"/>
                <w:szCs w:val="22"/>
              </w:rPr>
            </w:pPr>
          </w:p>
        </w:tc>
      </w:tr>
      <w:tr w:rsidR="00D102CF" w:rsidRPr="00D102CF" w14:paraId="6483F3AF" w14:textId="77777777" w:rsidTr="000C5BB1">
        <w:trPr>
          <w:trHeight w:val="530"/>
        </w:trPr>
        <w:tc>
          <w:tcPr>
            <w:tcW w:w="4765" w:type="dxa"/>
          </w:tcPr>
          <w:p w14:paraId="3C6CA5D6" w14:textId="77777777" w:rsidR="00D102CF" w:rsidRPr="00D102CF" w:rsidRDefault="00D102CF" w:rsidP="00D102CF">
            <w:pPr>
              <w:autoSpaceDE w:val="0"/>
              <w:autoSpaceDN w:val="0"/>
              <w:adjustRightInd w:val="0"/>
              <w:rPr>
                <w:color w:val="000000"/>
              </w:rPr>
            </w:pPr>
            <w:r w:rsidRPr="00D102CF">
              <w:rPr>
                <w:b/>
                <w:bCs/>
                <w:color w:val="000000"/>
              </w:rPr>
              <w:t xml:space="preserve">b) Research best practices, gather information and summarize findings in a report to the Department. </w:t>
            </w:r>
          </w:p>
        </w:tc>
        <w:tc>
          <w:tcPr>
            <w:tcW w:w="4765" w:type="dxa"/>
          </w:tcPr>
          <w:p w14:paraId="2F22C8F4" w14:textId="77777777" w:rsidR="00D102CF" w:rsidRPr="00D102CF" w:rsidRDefault="00D102CF" w:rsidP="00D102CF">
            <w:pPr>
              <w:rPr>
                <w:bCs/>
                <w:iCs/>
                <w:color w:val="000000"/>
                <w:sz w:val="22"/>
                <w:szCs w:val="22"/>
              </w:rPr>
            </w:pPr>
          </w:p>
        </w:tc>
      </w:tr>
      <w:tr w:rsidR="00D102CF" w:rsidRPr="00D102CF" w14:paraId="2F0DECAB" w14:textId="77777777" w:rsidTr="000C5BB1">
        <w:tc>
          <w:tcPr>
            <w:tcW w:w="4765" w:type="dxa"/>
          </w:tcPr>
          <w:p w14:paraId="35285F82" w14:textId="77777777" w:rsidR="00D102CF" w:rsidRPr="00D102CF" w:rsidRDefault="00D102CF" w:rsidP="00D102CF">
            <w:pPr>
              <w:autoSpaceDE w:val="0"/>
              <w:autoSpaceDN w:val="0"/>
              <w:adjustRightInd w:val="0"/>
              <w:rPr>
                <w:color w:val="000000"/>
              </w:rPr>
            </w:pPr>
            <w:r w:rsidRPr="00D102CF">
              <w:rPr>
                <w:b/>
                <w:bCs/>
                <w:color w:val="000000"/>
              </w:rPr>
              <w:t xml:space="preserve">c) Conduct a rate analysis of the provision and cost of selected service </w:t>
            </w:r>
          </w:p>
        </w:tc>
        <w:tc>
          <w:tcPr>
            <w:tcW w:w="4765" w:type="dxa"/>
          </w:tcPr>
          <w:p w14:paraId="68E4DD62" w14:textId="77777777" w:rsidR="00D102CF" w:rsidRPr="00D102CF" w:rsidRDefault="00D102CF" w:rsidP="00D102CF">
            <w:pPr>
              <w:rPr>
                <w:bCs/>
                <w:iCs/>
                <w:color w:val="000000"/>
                <w:sz w:val="22"/>
                <w:szCs w:val="22"/>
              </w:rPr>
            </w:pPr>
          </w:p>
        </w:tc>
      </w:tr>
      <w:tr w:rsidR="00D102CF" w:rsidRPr="00D102CF" w14:paraId="4F5346C6" w14:textId="77777777" w:rsidTr="000C5BB1">
        <w:tc>
          <w:tcPr>
            <w:tcW w:w="4765" w:type="dxa"/>
          </w:tcPr>
          <w:p w14:paraId="443D1D75" w14:textId="0120661D" w:rsidR="00D102CF" w:rsidRPr="00D102CF" w:rsidRDefault="00D102CF" w:rsidP="00D102CF">
            <w:pPr>
              <w:autoSpaceDE w:val="0"/>
              <w:autoSpaceDN w:val="0"/>
              <w:adjustRightInd w:val="0"/>
              <w:rPr>
                <w:color w:val="000000"/>
              </w:rPr>
            </w:pPr>
            <w:r w:rsidRPr="00D102CF">
              <w:rPr>
                <w:b/>
                <w:bCs/>
                <w:color w:val="000000"/>
              </w:rPr>
              <w:t xml:space="preserve">d) Develop proposed rates for traditional DDW services, Medically Fragile Waiver services and Mi Via Waiver services. </w:t>
            </w:r>
          </w:p>
        </w:tc>
        <w:tc>
          <w:tcPr>
            <w:tcW w:w="4765" w:type="dxa"/>
          </w:tcPr>
          <w:p w14:paraId="779FFA53" w14:textId="77777777" w:rsidR="00D102CF" w:rsidRPr="00D102CF" w:rsidRDefault="00D102CF" w:rsidP="00D102CF">
            <w:pPr>
              <w:rPr>
                <w:bCs/>
                <w:iCs/>
                <w:color w:val="000000"/>
                <w:sz w:val="22"/>
                <w:szCs w:val="22"/>
              </w:rPr>
            </w:pPr>
          </w:p>
        </w:tc>
      </w:tr>
      <w:tr w:rsidR="00D102CF" w:rsidRPr="00D102CF" w14:paraId="02C8EF20" w14:textId="77777777" w:rsidTr="000C5BB1">
        <w:tc>
          <w:tcPr>
            <w:tcW w:w="4765" w:type="dxa"/>
          </w:tcPr>
          <w:p w14:paraId="48CF0740" w14:textId="77777777" w:rsidR="00D102CF" w:rsidRPr="00D102CF" w:rsidRDefault="00D102CF" w:rsidP="00D102CF">
            <w:pPr>
              <w:autoSpaceDE w:val="0"/>
              <w:autoSpaceDN w:val="0"/>
              <w:adjustRightInd w:val="0"/>
              <w:rPr>
                <w:color w:val="000000"/>
              </w:rPr>
            </w:pPr>
            <w:r w:rsidRPr="00D102CF">
              <w:rPr>
                <w:b/>
                <w:bCs/>
                <w:color w:val="000000"/>
              </w:rPr>
              <w:t xml:space="preserve">e) Develop fiscal impact report based on the proposed rates. </w:t>
            </w:r>
          </w:p>
        </w:tc>
        <w:tc>
          <w:tcPr>
            <w:tcW w:w="4765" w:type="dxa"/>
          </w:tcPr>
          <w:p w14:paraId="4955FC9D" w14:textId="77777777" w:rsidR="00D102CF" w:rsidRPr="00D102CF" w:rsidRDefault="00D102CF" w:rsidP="00D102CF">
            <w:pPr>
              <w:rPr>
                <w:bCs/>
                <w:iCs/>
                <w:color w:val="000000"/>
                <w:sz w:val="22"/>
                <w:szCs w:val="22"/>
              </w:rPr>
            </w:pPr>
          </w:p>
        </w:tc>
      </w:tr>
      <w:tr w:rsidR="00D102CF" w:rsidRPr="00D102CF" w14:paraId="7CBA590F" w14:textId="77777777" w:rsidTr="000C5BB1">
        <w:tc>
          <w:tcPr>
            <w:tcW w:w="4765" w:type="dxa"/>
          </w:tcPr>
          <w:p w14:paraId="718A5B2A" w14:textId="77777777" w:rsidR="00D102CF" w:rsidRPr="00D102CF" w:rsidRDefault="00D102CF" w:rsidP="00D102CF">
            <w:pPr>
              <w:autoSpaceDE w:val="0"/>
              <w:autoSpaceDN w:val="0"/>
              <w:adjustRightInd w:val="0"/>
              <w:rPr>
                <w:color w:val="000000"/>
              </w:rPr>
            </w:pPr>
            <w:r w:rsidRPr="00D102CF">
              <w:rPr>
                <w:b/>
                <w:bCs/>
                <w:color w:val="000000"/>
              </w:rPr>
              <w:t xml:space="preserve">f) Develop methodology to address increased costs/inflation costs in providing services in subsequent years after the rate study. </w:t>
            </w:r>
          </w:p>
        </w:tc>
        <w:tc>
          <w:tcPr>
            <w:tcW w:w="4765" w:type="dxa"/>
          </w:tcPr>
          <w:p w14:paraId="63D85178" w14:textId="77777777" w:rsidR="00D102CF" w:rsidRPr="00D102CF" w:rsidRDefault="00D102CF" w:rsidP="00D102CF">
            <w:pPr>
              <w:rPr>
                <w:bCs/>
                <w:iCs/>
                <w:color w:val="000000"/>
                <w:sz w:val="22"/>
                <w:szCs w:val="22"/>
              </w:rPr>
            </w:pPr>
          </w:p>
        </w:tc>
      </w:tr>
      <w:tr w:rsidR="00D102CF" w:rsidRPr="00D102CF" w14:paraId="233ADD01" w14:textId="77777777" w:rsidTr="000C5BB1">
        <w:trPr>
          <w:trHeight w:val="989"/>
        </w:trPr>
        <w:tc>
          <w:tcPr>
            <w:tcW w:w="4765" w:type="dxa"/>
          </w:tcPr>
          <w:p w14:paraId="13F786F1" w14:textId="77777777" w:rsidR="00D102CF" w:rsidRPr="00D102CF" w:rsidRDefault="00D102CF" w:rsidP="00D102CF">
            <w:pPr>
              <w:autoSpaceDE w:val="0"/>
              <w:autoSpaceDN w:val="0"/>
              <w:adjustRightInd w:val="0"/>
              <w:rPr>
                <w:color w:val="000000"/>
              </w:rPr>
            </w:pPr>
            <w:r w:rsidRPr="00D102CF">
              <w:rPr>
                <w:b/>
                <w:bCs/>
                <w:color w:val="000000"/>
              </w:rPr>
              <w:t xml:space="preserve">g) Stakeholder engagement to include regular meetings with Department staff, HCA, and other stakeholder regarding the design and implementation of the rate study </w:t>
            </w:r>
          </w:p>
        </w:tc>
        <w:tc>
          <w:tcPr>
            <w:tcW w:w="4765" w:type="dxa"/>
          </w:tcPr>
          <w:p w14:paraId="1A009402" w14:textId="77777777" w:rsidR="00D102CF" w:rsidRPr="00D102CF" w:rsidRDefault="00D102CF" w:rsidP="00D102CF">
            <w:pPr>
              <w:rPr>
                <w:bCs/>
                <w:iCs/>
                <w:color w:val="000000"/>
                <w:sz w:val="22"/>
                <w:szCs w:val="22"/>
              </w:rPr>
            </w:pPr>
          </w:p>
        </w:tc>
      </w:tr>
    </w:tbl>
    <w:p w14:paraId="6A1928C9" w14:textId="77777777" w:rsidR="00D102CF" w:rsidRDefault="00D102CF" w:rsidP="001915B7"/>
    <w:p w14:paraId="5DA28F55" w14:textId="1F530811" w:rsidR="00D102CF" w:rsidRDefault="00D102CF" w:rsidP="001915B7">
      <w:r>
        <w:t>All costs must be firm, fixed, and include all services performed under the requirements of the Section IV. F. Detailed Scope of Work. Total Cost = $ _________</w:t>
      </w:r>
    </w:p>
    <w:sectPr w:rsidR="00D102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095408"/>
    <w:multiLevelType w:val="hybridMultilevel"/>
    <w:tmpl w:val="3B62765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366C04C2"/>
    <w:multiLevelType w:val="hybridMultilevel"/>
    <w:tmpl w:val="3B627654"/>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 w15:restartNumberingAfterBreak="0">
    <w:nsid w:val="420C774F"/>
    <w:multiLevelType w:val="hybridMultilevel"/>
    <w:tmpl w:val="F3A2260A"/>
    <w:lvl w:ilvl="0" w:tplc="7BE0D7C4">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58366EE"/>
    <w:multiLevelType w:val="hybridMultilevel"/>
    <w:tmpl w:val="97AE6D12"/>
    <w:lvl w:ilvl="0" w:tplc="04090015">
      <w:start w:val="1"/>
      <w:numFmt w:val="upperLetter"/>
      <w:lvlText w:val="%1."/>
      <w:lvlJc w:val="left"/>
      <w:pPr>
        <w:ind w:left="720" w:hanging="360"/>
      </w:pPr>
    </w:lvl>
    <w:lvl w:ilvl="1" w:tplc="39C00764">
      <w:start w:val="1"/>
      <w:numFmt w:val="decimal"/>
      <w:lvlText w:val="%2."/>
      <w:lvlJc w:val="left"/>
      <w:pPr>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085359B"/>
    <w:multiLevelType w:val="hybridMultilevel"/>
    <w:tmpl w:val="40929B6C"/>
    <w:lvl w:ilvl="0" w:tplc="04090017">
      <w:start w:val="1"/>
      <w:numFmt w:val="lowerLetter"/>
      <w:lvlText w:val="%1)"/>
      <w:lvlJc w:val="left"/>
      <w:pPr>
        <w:ind w:left="720" w:hanging="360"/>
      </w:pPr>
    </w:lvl>
    <w:lvl w:ilvl="1" w:tplc="0409000F">
      <w:start w:val="1"/>
      <w:numFmt w:val="decimal"/>
      <w:lvlText w:val="%2."/>
      <w:lvlJc w:val="left"/>
      <w:pPr>
        <w:ind w:left="1440" w:hanging="360"/>
      </w:pPr>
      <w:rPr>
        <w:b w:val="0"/>
      </w:r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9757E44"/>
    <w:multiLevelType w:val="hybridMultilevel"/>
    <w:tmpl w:val="95C89B0E"/>
    <w:lvl w:ilvl="0" w:tplc="4F886CF0">
      <w:start w:val="2"/>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D4F1141"/>
    <w:multiLevelType w:val="hybridMultilevel"/>
    <w:tmpl w:val="7C50A604"/>
    <w:lvl w:ilvl="0" w:tplc="794275AC">
      <w:start w:val="1"/>
      <w:numFmt w:val="upp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63998989">
    <w:abstractNumId w:val="6"/>
  </w:num>
  <w:num w:numId="2" w16cid:durableId="690763080">
    <w:abstractNumId w:val="2"/>
  </w:num>
  <w:num w:numId="3" w16cid:durableId="2149008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055100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5630412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36892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99184603">
    <w:abstractNumId w:val="0"/>
  </w:num>
  <w:num w:numId="8" w16cid:durableId="1001349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7"/>
    <w:rsid w:val="00106D3B"/>
    <w:rsid w:val="001915B7"/>
    <w:rsid w:val="001D00AE"/>
    <w:rsid w:val="00465434"/>
    <w:rsid w:val="004C4CC2"/>
    <w:rsid w:val="00756278"/>
    <w:rsid w:val="008149AD"/>
    <w:rsid w:val="00885DFE"/>
    <w:rsid w:val="00A017BB"/>
    <w:rsid w:val="00A864E9"/>
    <w:rsid w:val="00A900C3"/>
    <w:rsid w:val="00B87753"/>
    <w:rsid w:val="00C97DE4"/>
    <w:rsid w:val="00D10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D1344"/>
  <w15:chartTrackingRefBased/>
  <w15:docId w15:val="{13A08503-1016-416D-8833-40F7D5930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0A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915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1915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15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15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15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15B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15B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15B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15B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5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1915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15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15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15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15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15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15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15B7"/>
    <w:rPr>
      <w:rFonts w:eastAsiaTheme="majorEastAsia" w:cstheme="majorBidi"/>
      <w:color w:val="272727" w:themeColor="text1" w:themeTint="D8"/>
    </w:rPr>
  </w:style>
  <w:style w:type="paragraph" w:styleId="Title">
    <w:name w:val="Title"/>
    <w:basedOn w:val="Normal"/>
    <w:next w:val="Normal"/>
    <w:link w:val="TitleChar"/>
    <w:uiPriority w:val="10"/>
    <w:qFormat/>
    <w:rsid w:val="001915B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15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15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15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15B7"/>
    <w:pPr>
      <w:spacing w:before="160"/>
      <w:jc w:val="center"/>
    </w:pPr>
    <w:rPr>
      <w:i/>
      <w:iCs/>
      <w:color w:val="404040" w:themeColor="text1" w:themeTint="BF"/>
    </w:rPr>
  </w:style>
  <w:style w:type="character" w:customStyle="1" w:styleId="QuoteChar">
    <w:name w:val="Quote Char"/>
    <w:basedOn w:val="DefaultParagraphFont"/>
    <w:link w:val="Quote"/>
    <w:uiPriority w:val="29"/>
    <w:rsid w:val="001915B7"/>
    <w:rPr>
      <w:i/>
      <w:iCs/>
      <w:color w:val="404040" w:themeColor="text1" w:themeTint="BF"/>
    </w:rPr>
  </w:style>
  <w:style w:type="paragraph" w:styleId="ListParagraph">
    <w:name w:val="List Paragraph"/>
    <w:basedOn w:val="Normal"/>
    <w:uiPriority w:val="34"/>
    <w:qFormat/>
    <w:rsid w:val="001915B7"/>
    <w:pPr>
      <w:ind w:left="720"/>
      <w:contextualSpacing/>
    </w:pPr>
  </w:style>
  <w:style w:type="character" w:styleId="IntenseEmphasis">
    <w:name w:val="Intense Emphasis"/>
    <w:basedOn w:val="DefaultParagraphFont"/>
    <w:uiPriority w:val="21"/>
    <w:qFormat/>
    <w:rsid w:val="001915B7"/>
    <w:rPr>
      <w:i/>
      <w:iCs/>
      <w:color w:val="0F4761" w:themeColor="accent1" w:themeShade="BF"/>
    </w:rPr>
  </w:style>
  <w:style w:type="paragraph" w:styleId="IntenseQuote">
    <w:name w:val="Intense Quote"/>
    <w:basedOn w:val="Normal"/>
    <w:next w:val="Normal"/>
    <w:link w:val="IntenseQuoteChar"/>
    <w:uiPriority w:val="30"/>
    <w:qFormat/>
    <w:rsid w:val="001915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15B7"/>
    <w:rPr>
      <w:i/>
      <w:iCs/>
      <w:color w:val="0F4761" w:themeColor="accent1" w:themeShade="BF"/>
    </w:rPr>
  </w:style>
  <w:style w:type="character" w:styleId="IntenseReference">
    <w:name w:val="Intense Reference"/>
    <w:basedOn w:val="DefaultParagraphFont"/>
    <w:uiPriority w:val="32"/>
    <w:qFormat/>
    <w:rsid w:val="001915B7"/>
    <w:rPr>
      <w:b/>
      <w:bCs/>
      <w:smallCaps/>
      <w:color w:val="0F4761" w:themeColor="accent1" w:themeShade="BF"/>
      <w:spacing w:val="5"/>
    </w:rPr>
  </w:style>
  <w:style w:type="table" w:styleId="TableGrid">
    <w:name w:val="Table Grid"/>
    <w:basedOn w:val="TableNormal"/>
    <w:rsid w:val="00D102C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728464">
      <w:bodyDiv w:val="1"/>
      <w:marLeft w:val="0"/>
      <w:marRight w:val="0"/>
      <w:marTop w:val="0"/>
      <w:marBottom w:val="0"/>
      <w:divBdr>
        <w:top w:val="none" w:sz="0" w:space="0" w:color="auto"/>
        <w:left w:val="none" w:sz="0" w:space="0" w:color="auto"/>
        <w:bottom w:val="none" w:sz="0" w:space="0" w:color="auto"/>
        <w:right w:val="none" w:sz="0" w:space="0" w:color="auto"/>
      </w:divBdr>
    </w:div>
    <w:div w:id="344792561">
      <w:bodyDiv w:val="1"/>
      <w:marLeft w:val="0"/>
      <w:marRight w:val="0"/>
      <w:marTop w:val="0"/>
      <w:marBottom w:val="0"/>
      <w:divBdr>
        <w:top w:val="none" w:sz="0" w:space="0" w:color="auto"/>
        <w:left w:val="none" w:sz="0" w:space="0" w:color="auto"/>
        <w:bottom w:val="none" w:sz="0" w:space="0" w:color="auto"/>
        <w:right w:val="none" w:sz="0" w:space="0" w:color="auto"/>
      </w:divBdr>
    </w:div>
    <w:div w:id="1351877175">
      <w:bodyDiv w:val="1"/>
      <w:marLeft w:val="0"/>
      <w:marRight w:val="0"/>
      <w:marTop w:val="0"/>
      <w:marBottom w:val="0"/>
      <w:divBdr>
        <w:top w:val="none" w:sz="0" w:space="0" w:color="auto"/>
        <w:left w:val="none" w:sz="0" w:space="0" w:color="auto"/>
        <w:bottom w:val="none" w:sz="0" w:space="0" w:color="auto"/>
        <w:right w:val="none" w:sz="0" w:space="0" w:color="auto"/>
      </w:divBdr>
    </w:div>
    <w:div w:id="143624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4544B-9FD1-4EF2-B0B2-6A214DADD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1176</Words>
  <Characters>6705</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Sanchez, Arnold, HCA</dc:creator>
  <cp:keywords/>
  <dc:description/>
  <cp:lastModifiedBy>Sisneros, Andrea, HCA</cp:lastModifiedBy>
  <cp:revision>2</cp:revision>
  <dcterms:created xsi:type="dcterms:W3CDTF">2024-10-25T16:03:00Z</dcterms:created>
  <dcterms:modified xsi:type="dcterms:W3CDTF">2024-10-25T16:03:00Z</dcterms:modified>
</cp:coreProperties>
</file>